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22F" w:rsidRDefault="00BC28D9">
      <w:pPr>
        <w:spacing w:after="0" w:line="262" w:lineRule="auto"/>
        <w:ind w:left="7710" w:hanging="915"/>
        <w:jc w:val="left"/>
      </w:pPr>
      <w:r>
        <w:rPr>
          <w:b/>
          <w:sz w:val="23"/>
        </w:rPr>
        <w:t>N. _____/____ REG.PROV.COLL. N. 11114/2025 REG.RIC.</w:t>
      </w:r>
    </w:p>
    <w:p w:rsidR="00AF722F" w:rsidRDefault="00BC28D9">
      <w:pPr>
        <w:spacing w:after="272" w:line="259" w:lineRule="auto"/>
        <w:ind w:left="4500" w:firstLine="0"/>
        <w:jc w:val="left"/>
      </w:pPr>
      <w:r>
        <w:rPr>
          <w:noProof/>
        </w:rPr>
        <w:drawing>
          <wp:inline distT="0" distB="0" distL="0" distR="0">
            <wp:extent cx="723900" cy="82867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a:stretch>
                      <a:fillRect/>
                    </a:stretch>
                  </pic:blipFill>
                  <pic:spPr>
                    <a:xfrm flipV="1">
                      <a:off x="0" y="0"/>
                      <a:ext cx="723900" cy="828675"/>
                    </a:xfrm>
                    <a:prstGeom prst="rect">
                      <a:avLst/>
                    </a:prstGeom>
                  </pic:spPr>
                </pic:pic>
              </a:graphicData>
            </a:graphic>
          </wp:inline>
        </w:drawing>
      </w:r>
    </w:p>
    <w:p w:rsidR="00AF722F" w:rsidRDefault="00BC28D9">
      <w:pPr>
        <w:spacing w:after="270" w:line="259" w:lineRule="auto"/>
        <w:ind w:left="0" w:right="328" w:firstLine="0"/>
        <w:jc w:val="center"/>
      </w:pPr>
      <w:r>
        <w:rPr>
          <w:b/>
          <w:sz w:val="24"/>
        </w:rPr>
        <w:t xml:space="preserve">R E P U B </w:t>
      </w:r>
      <w:proofErr w:type="spellStart"/>
      <w:r>
        <w:rPr>
          <w:b/>
          <w:sz w:val="24"/>
        </w:rPr>
        <w:t>B</w:t>
      </w:r>
      <w:proofErr w:type="spellEnd"/>
      <w:r>
        <w:rPr>
          <w:b/>
          <w:sz w:val="24"/>
        </w:rPr>
        <w:t xml:space="preserve"> L I C A I T A L I A N A</w:t>
      </w:r>
    </w:p>
    <w:p w:rsidR="00AF722F" w:rsidRDefault="00BC28D9">
      <w:pPr>
        <w:spacing w:after="258" w:line="259" w:lineRule="auto"/>
        <w:ind w:left="0" w:right="150" w:firstLine="0"/>
        <w:jc w:val="center"/>
      </w:pPr>
      <w:r>
        <w:rPr>
          <w:b/>
          <w:sz w:val="23"/>
        </w:rPr>
        <w:t>IN NOME DEL POPOLO ITALIANO</w:t>
      </w:r>
    </w:p>
    <w:p w:rsidR="00AF722F" w:rsidRDefault="00BC28D9">
      <w:pPr>
        <w:spacing w:after="371" w:line="259" w:lineRule="auto"/>
        <w:ind w:left="10" w:right="155"/>
        <w:jc w:val="center"/>
      </w:pPr>
      <w:r>
        <w:rPr>
          <w:b/>
          <w:sz w:val="26"/>
        </w:rPr>
        <w:t>Il Tribunale Amministrativo Regionale per il Lazio (Sezione Terza Bis)</w:t>
      </w:r>
    </w:p>
    <w:p w:rsidR="00AF722F" w:rsidRDefault="00BC28D9">
      <w:pPr>
        <w:spacing w:after="270" w:line="259" w:lineRule="auto"/>
        <w:ind w:right="75"/>
      </w:pPr>
      <w:r>
        <w:t>ha pronunciato la presente</w:t>
      </w:r>
    </w:p>
    <w:p w:rsidR="00AF722F" w:rsidRDefault="00BC28D9">
      <w:pPr>
        <w:pStyle w:val="Titolo1"/>
        <w:spacing w:after="371"/>
        <w:ind w:left="10" w:right="169"/>
      </w:pPr>
      <w:r>
        <w:rPr>
          <w:b/>
          <w:sz w:val="26"/>
        </w:rPr>
        <w:t>SENTENZA</w:t>
      </w:r>
    </w:p>
    <w:p w:rsidR="00AF722F" w:rsidRDefault="00BC28D9">
      <w:pPr>
        <w:ind w:left="-5" w:right="75"/>
      </w:pPr>
      <w:r>
        <w:t xml:space="preserve">sul ricorso numero di registro generale 11114 del 2025, proposto da </w:t>
      </w:r>
      <w:r w:rsidRPr="00DC3A16">
        <w:rPr>
          <w:highlight w:val="black"/>
        </w:rPr>
        <w:t>Istituto “Volta</w:t>
      </w:r>
      <w:r>
        <w:t xml:space="preserve">” gestito dalla </w:t>
      </w:r>
      <w:r w:rsidRPr="00DC3A16">
        <w:rPr>
          <w:highlight w:val="black"/>
        </w:rPr>
        <w:t>Società Volta Società Cooperativa Sociale</w:t>
      </w:r>
      <w:r>
        <w:t>, in persona del legale rappresentante pro tempore, rappresentato e difeso dall'avvocato Carlo Rienzi, con</w:t>
      </w:r>
    </w:p>
    <w:p w:rsidR="00AF722F" w:rsidRDefault="00BC28D9">
      <w:pPr>
        <w:ind w:left="4650" w:right="1043" w:hanging="4665"/>
      </w:pPr>
      <w:r>
        <w:t>domicilio</w:t>
      </w:r>
      <w:r>
        <w:t xml:space="preserve"> eletto presso il suo studio in Roma, viale delle Milizie n. 9; </w:t>
      </w:r>
      <w:r>
        <w:rPr>
          <w:b/>
          <w:i/>
        </w:rPr>
        <w:t>contro</w:t>
      </w:r>
    </w:p>
    <w:p w:rsidR="00AF722F" w:rsidRDefault="00BC28D9">
      <w:pPr>
        <w:ind w:left="-5" w:right="75"/>
      </w:pPr>
      <w:r>
        <w:t>Ministero dell'Istruzione e del Merito, Ufficio Scolastico Regionale Friuli Venezia Giulia, in persona del legale rappresentante pro tempore, rappresentati e difesi dall'Avvocatura Gene</w:t>
      </w:r>
      <w:r>
        <w:t xml:space="preserve">rale dello Stato, domiciliataria ex </w:t>
      </w:r>
      <w:proofErr w:type="spellStart"/>
      <w:r>
        <w:t>lege</w:t>
      </w:r>
      <w:proofErr w:type="spellEnd"/>
      <w:r>
        <w:t xml:space="preserve"> in Roma, via dei Portoghesi, 12; </w:t>
      </w:r>
    </w:p>
    <w:p w:rsidR="00AF722F" w:rsidRDefault="00BC28D9">
      <w:pPr>
        <w:spacing w:after="140" w:line="259" w:lineRule="auto"/>
        <w:ind w:left="0" w:right="155" w:firstLine="0"/>
        <w:jc w:val="center"/>
      </w:pPr>
      <w:r>
        <w:rPr>
          <w:b/>
          <w:i/>
        </w:rPr>
        <w:t>e con l'intervento di</w:t>
      </w:r>
    </w:p>
    <w:p w:rsidR="00AF722F" w:rsidRDefault="00BC28D9">
      <w:pPr>
        <w:spacing w:after="135" w:line="259" w:lineRule="auto"/>
        <w:ind w:left="-5" w:right="73"/>
      </w:pPr>
      <w:r>
        <w:rPr>
          <w:i/>
        </w:rPr>
        <w:t xml:space="preserve">ad </w:t>
      </w:r>
      <w:proofErr w:type="spellStart"/>
      <w:r>
        <w:rPr>
          <w:i/>
        </w:rPr>
        <w:t>adiuvandum</w:t>
      </w:r>
      <w:proofErr w:type="spellEnd"/>
      <w:r>
        <w:rPr>
          <w:i/>
        </w:rPr>
        <w:t>:</w:t>
      </w:r>
      <w:r>
        <w:t xml:space="preserve"> </w:t>
      </w:r>
    </w:p>
    <w:p w:rsidR="00AF722F" w:rsidRPr="00DC3A16" w:rsidRDefault="00BC28D9">
      <w:pPr>
        <w:spacing w:after="135" w:line="259" w:lineRule="auto"/>
        <w:ind w:left="-5" w:right="75"/>
        <w:rPr>
          <w:highlight w:val="black"/>
        </w:rPr>
      </w:pPr>
      <w:r w:rsidRPr="00DC3A16">
        <w:rPr>
          <w:highlight w:val="black"/>
        </w:rPr>
        <w:t xml:space="preserve">Davide </w:t>
      </w:r>
      <w:proofErr w:type="spellStart"/>
      <w:r w:rsidRPr="00DC3A16">
        <w:rPr>
          <w:highlight w:val="black"/>
        </w:rPr>
        <w:t>Pittioni</w:t>
      </w:r>
      <w:proofErr w:type="spellEnd"/>
      <w:r w:rsidRPr="00DC3A16">
        <w:rPr>
          <w:highlight w:val="black"/>
        </w:rPr>
        <w:t xml:space="preserve">, </w:t>
      </w:r>
      <w:proofErr w:type="spellStart"/>
      <w:r w:rsidRPr="00DC3A16">
        <w:rPr>
          <w:highlight w:val="black"/>
        </w:rPr>
        <w:t>Klara</w:t>
      </w:r>
      <w:proofErr w:type="spellEnd"/>
      <w:r w:rsidRPr="00DC3A16">
        <w:rPr>
          <w:highlight w:val="black"/>
        </w:rPr>
        <w:t xml:space="preserve"> </w:t>
      </w:r>
      <w:proofErr w:type="spellStart"/>
      <w:r w:rsidRPr="00DC3A16">
        <w:rPr>
          <w:highlight w:val="black"/>
        </w:rPr>
        <w:t>Prenga</w:t>
      </w:r>
      <w:proofErr w:type="spellEnd"/>
      <w:r w:rsidRPr="00DC3A16">
        <w:rPr>
          <w:highlight w:val="black"/>
        </w:rPr>
        <w:t xml:space="preserve">, </w:t>
      </w:r>
      <w:proofErr w:type="spellStart"/>
      <w:r w:rsidRPr="00DC3A16">
        <w:rPr>
          <w:highlight w:val="black"/>
        </w:rPr>
        <w:t>Mathia</w:t>
      </w:r>
      <w:proofErr w:type="spellEnd"/>
      <w:r w:rsidRPr="00DC3A16">
        <w:rPr>
          <w:highlight w:val="black"/>
        </w:rPr>
        <w:t xml:space="preserve"> Gioele </w:t>
      </w:r>
      <w:proofErr w:type="spellStart"/>
      <w:r w:rsidRPr="00DC3A16">
        <w:rPr>
          <w:highlight w:val="black"/>
        </w:rPr>
        <w:t>Favot</w:t>
      </w:r>
      <w:proofErr w:type="spellEnd"/>
      <w:r w:rsidRPr="00DC3A16">
        <w:rPr>
          <w:highlight w:val="black"/>
        </w:rPr>
        <w:t xml:space="preserve">, Altea </w:t>
      </w:r>
      <w:proofErr w:type="spellStart"/>
      <w:r w:rsidRPr="00DC3A16">
        <w:rPr>
          <w:highlight w:val="black"/>
        </w:rPr>
        <w:t>Bicaj</w:t>
      </w:r>
      <w:proofErr w:type="spellEnd"/>
      <w:r w:rsidRPr="00DC3A16">
        <w:rPr>
          <w:highlight w:val="black"/>
        </w:rPr>
        <w:t>, Jacopo Cecotti,</w:t>
      </w:r>
    </w:p>
    <w:p w:rsidR="00AF722F" w:rsidRPr="00DC3A16" w:rsidRDefault="00BC28D9">
      <w:pPr>
        <w:spacing w:after="135" w:line="259" w:lineRule="auto"/>
        <w:ind w:left="-5" w:right="75"/>
        <w:rPr>
          <w:highlight w:val="black"/>
        </w:rPr>
      </w:pPr>
      <w:r w:rsidRPr="00DC3A16">
        <w:rPr>
          <w:highlight w:val="black"/>
        </w:rPr>
        <w:t xml:space="preserve">Alessio </w:t>
      </w:r>
      <w:proofErr w:type="spellStart"/>
      <w:r w:rsidRPr="00DC3A16">
        <w:rPr>
          <w:highlight w:val="black"/>
        </w:rPr>
        <w:t>Flaugnatti</w:t>
      </w:r>
      <w:proofErr w:type="spellEnd"/>
      <w:r w:rsidRPr="00DC3A16">
        <w:rPr>
          <w:highlight w:val="black"/>
        </w:rPr>
        <w:t xml:space="preserve">, Martina </w:t>
      </w:r>
      <w:proofErr w:type="spellStart"/>
      <w:r w:rsidRPr="00DC3A16">
        <w:rPr>
          <w:highlight w:val="black"/>
        </w:rPr>
        <w:t>Tel</w:t>
      </w:r>
      <w:proofErr w:type="spellEnd"/>
      <w:r w:rsidRPr="00DC3A16">
        <w:rPr>
          <w:highlight w:val="black"/>
        </w:rPr>
        <w:t xml:space="preserve">, Maria </w:t>
      </w:r>
      <w:proofErr w:type="spellStart"/>
      <w:r w:rsidRPr="00DC3A16">
        <w:rPr>
          <w:highlight w:val="black"/>
        </w:rPr>
        <w:t>Genetti</w:t>
      </w:r>
      <w:proofErr w:type="spellEnd"/>
      <w:r w:rsidRPr="00DC3A16">
        <w:rPr>
          <w:highlight w:val="black"/>
        </w:rPr>
        <w:t xml:space="preserve">, </w:t>
      </w:r>
      <w:proofErr w:type="spellStart"/>
      <w:r w:rsidRPr="00DC3A16">
        <w:rPr>
          <w:highlight w:val="black"/>
        </w:rPr>
        <w:t>Matias</w:t>
      </w:r>
      <w:proofErr w:type="spellEnd"/>
      <w:r w:rsidRPr="00DC3A16">
        <w:rPr>
          <w:highlight w:val="black"/>
        </w:rPr>
        <w:t xml:space="preserve"> Roberto </w:t>
      </w:r>
      <w:proofErr w:type="spellStart"/>
      <w:r w:rsidRPr="00DC3A16">
        <w:rPr>
          <w:highlight w:val="black"/>
        </w:rPr>
        <w:t>Gutierrez</w:t>
      </w:r>
      <w:proofErr w:type="spellEnd"/>
      <w:r w:rsidRPr="00DC3A16">
        <w:rPr>
          <w:highlight w:val="black"/>
        </w:rPr>
        <w:t xml:space="preserve"> </w:t>
      </w:r>
      <w:proofErr w:type="spellStart"/>
      <w:r w:rsidRPr="00DC3A16">
        <w:rPr>
          <w:highlight w:val="black"/>
        </w:rPr>
        <w:t>Romoli</w:t>
      </w:r>
      <w:proofErr w:type="spellEnd"/>
      <w:r w:rsidRPr="00DC3A16">
        <w:rPr>
          <w:highlight w:val="black"/>
        </w:rPr>
        <w:t>,</w:t>
      </w:r>
    </w:p>
    <w:p w:rsidR="00AF722F" w:rsidRPr="00DC3A16" w:rsidRDefault="00BC28D9">
      <w:pPr>
        <w:spacing w:after="135" w:line="259" w:lineRule="auto"/>
        <w:ind w:left="-5" w:right="75"/>
        <w:rPr>
          <w:highlight w:val="black"/>
        </w:rPr>
      </w:pPr>
      <w:proofErr w:type="spellStart"/>
      <w:r w:rsidRPr="00DC3A16">
        <w:rPr>
          <w:highlight w:val="black"/>
        </w:rPr>
        <w:t>Tristan</w:t>
      </w:r>
      <w:proofErr w:type="spellEnd"/>
      <w:r w:rsidRPr="00DC3A16">
        <w:rPr>
          <w:highlight w:val="black"/>
        </w:rPr>
        <w:t xml:space="preserve"> </w:t>
      </w:r>
      <w:proofErr w:type="spellStart"/>
      <w:r w:rsidRPr="00DC3A16">
        <w:rPr>
          <w:highlight w:val="black"/>
        </w:rPr>
        <w:t>Pozzer</w:t>
      </w:r>
      <w:proofErr w:type="spellEnd"/>
      <w:r w:rsidRPr="00DC3A16">
        <w:rPr>
          <w:highlight w:val="black"/>
        </w:rPr>
        <w:t>, Matteo Dal Vi, Thomas Fattori, Carlotta De Lucia, Ester</w:t>
      </w:r>
    </w:p>
    <w:p w:rsidR="00AF722F" w:rsidRPr="00DC3A16" w:rsidRDefault="00BC28D9">
      <w:pPr>
        <w:spacing w:after="135" w:line="259" w:lineRule="auto"/>
        <w:ind w:left="-5" w:right="75"/>
        <w:rPr>
          <w:highlight w:val="black"/>
        </w:rPr>
      </w:pPr>
      <w:proofErr w:type="spellStart"/>
      <w:r w:rsidRPr="00DC3A16">
        <w:rPr>
          <w:highlight w:val="black"/>
        </w:rPr>
        <w:t>Castellarin</w:t>
      </w:r>
      <w:proofErr w:type="spellEnd"/>
      <w:r w:rsidRPr="00DC3A16">
        <w:rPr>
          <w:highlight w:val="black"/>
        </w:rPr>
        <w:t xml:space="preserve">, Pietro </w:t>
      </w:r>
      <w:proofErr w:type="spellStart"/>
      <w:r w:rsidRPr="00DC3A16">
        <w:rPr>
          <w:highlight w:val="black"/>
        </w:rPr>
        <w:t>Poldelmengo</w:t>
      </w:r>
      <w:proofErr w:type="spellEnd"/>
      <w:r w:rsidRPr="00DC3A16">
        <w:rPr>
          <w:highlight w:val="black"/>
        </w:rPr>
        <w:t xml:space="preserve">, Sonia Pin, Julie </w:t>
      </w:r>
      <w:proofErr w:type="spellStart"/>
      <w:r w:rsidRPr="00DC3A16">
        <w:rPr>
          <w:highlight w:val="black"/>
        </w:rPr>
        <w:t>Zinzone</w:t>
      </w:r>
      <w:proofErr w:type="spellEnd"/>
      <w:r w:rsidRPr="00DC3A16">
        <w:rPr>
          <w:highlight w:val="black"/>
        </w:rPr>
        <w:t>, Mauro Grisi, Roberta Zona, Fabiana Zanini, A</w:t>
      </w:r>
      <w:r w:rsidRPr="00DC3A16">
        <w:rPr>
          <w:highlight w:val="black"/>
        </w:rPr>
        <w:t xml:space="preserve">ntonella </w:t>
      </w:r>
      <w:proofErr w:type="spellStart"/>
      <w:r w:rsidRPr="00DC3A16">
        <w:rPr>
          <w:highlight w:val="black"/>
        </w:rPr>
        <w:t>Asquini</w:t>
      </w:r>
      <w:proofErr w:type="spellEnd"/>
      <w:r w:rsidRPr="00DC3A16">
        <w:rPr>
          <w:highlight w:val="black"/>
        </w:rPr>
        <w:t xml:space="preserve">, Giuseppe </w:t>
      </w:r>
      <w:proofErr w:type="spellStart"/>
      <w:r w:rsidRPr="00DC3A16">
        <w:rPr>
          <w:highlight w:val="black"/>
        </w:rPr>
        <w:t>Pennacchia</w:t>
      </w:r>
      <w:proofErr w:type="spellEnd"/>
      <w:r w:rsidRPr="00DC3A16">
        <w:rPr>
          <w:highlight w:val="black"/>
        </w:rPr>
        <w:t xml:space="preserve">, Silvia </w:t>
      </w:r>
      <w:proofErr w:type="spellStart"/>
      <w:r w:rsidRPr="00DC3A16">
        <w:rPr>
          <w:highlight w:val="black"/>
        </w:rPr>
        <w:t>Cariolato</w:t>
      </w:r>
      <w:proofErr w:type="spellEnd"/>
      <w:r w:rsidRPr="00DC3A16">
        <w:rPr>
          <w:highlight w:val="black"/>
        </w:rPr>
        <w:t>,</w:t>
      </w:r>
    </w:p>
    <w:p w:rsidR="00AF722F" w:rsidRPr="00DC3A16" w:rsidRDefault="00BC28D9">
      <w:pPr>
        <w:spacing w:after="135" w:line="259" w:lineRule="auto"/>
        <w:ind w:left="-5" w:right="75"/>
        <w:rPr>
          <w:highlight w:val="black"/>
        </w:rPr>
      </w:pPr>
      <w:proofErr w:type="spellStart"/>
      <w:r w:rsidRPr="00DC3A16">
        <w:rPr>
          <w:highlight w:val="black"/>
        </w:rPr>
        <w:t>Ekaterina</w:t>
      </w:r>
      <w:proofErr w:type="spellEnd"/>
      <w:r w:rsidRPr="00DC3A16">
        <w:rPr>
          <w:highlight w:val="black"/>
        </w:rPr>
        <w:t xml:space="preserve"> </w:t>
      </w:r>
      <w:proofErr w:type="spellStart"/>
      <w:r w:rsidRPr="00DC3A16">
        <w:rPr>
          <w:highlight w:val="black"/>
        </w:rPr>
        <w:t>Valerievna</w:t>
      </w:r>
      <w:proofErr w:type="spellEnd"/>
      <w:r w:rsidRPr="00DC3A16">
        <w:rPr>
          <w:highlight w:val="black"/>
        </w:rPr>
        <w:t xml:space="preserve"> </w:t>
      </w:r>
      <w:proofErr w:type="spellStart"/>
      <w:r w:rsidRPr="00DC3A16">
        <w:rPr>
          <w:highlight w:val="black"/>
        </w:rPr>
        <w:t>Ryzhko</w:t>
      </w:r>
      <w:proofErr w:type="spellEnd"/>
      <w:r w:rsidRPr="00DC3A16">
        <w:rPr>
          <w:highlight w:val="black"/>
        </w:rPr>
        <w:t xml:space="preserve">, Omar </w:t>
      </w:r>
      <w:proofErr w:type="spellStart"/>
      <w:r w:rsidRPr="00DC3A16">
        <w:rPr>
          <w:highlight w:val="black"/>
        </w:rPr>
        <w:t>Pantarotto</w:t>
      </w:r>
      <w:proofErr w:type="spellEnd"/>
      <w:r w:rsidRPr="00DC3A16">
        <w:rPr>
          <w:highlight w:val="black"/>
        </w:rPr>
        <w:t xml:space="preserve">, Erika </w:t>
      </w:r>
      <w:proofErr w:type="spellStart"/>
      <w:r w:rsidRPr="00DC3A16">
        <w:rPr>
          <w:highlight w:val="black"/>
        </w:rPr>
        <w:t>Mittone</w:t>
      </w:r>
      <w:proofErr w:type="spellEnd"/>
      <w:r w:rsidRPr="00DC3A16">
        <w:rPr>
          <w:highlight w:val="black"/>
        </w:rPr>
        <w:t xml:space="preserve">, Caterina </w:t>
      </w:r>
      <w:proofErr w:type="spellStart"/>
      <w:r w:rsidRPr="00DC3A16">
        <w:rPr>
          <w:highlight w:val="black"/>
        </w:rPr>
        <w:t>Biasiol</w:t>
      </w:r>
      <w:proofErr w:type="spellEnd"/>
      <w:r w:rsidRPr="00DC3A16">
        <w:rPr>
          <w:highlight w:val="black"/>
        </w:rPr>
        <w:t>,</w:t>
      </w:r>
    </w:p>
    <w:p w:rsidR="00AF722F" w:rsidRDefault="00BC28D9">
      <w:pPr>
        <w:spacing w:after="135" w:line="259" w:lineRule="auto"/>
        <w:ind w:left="-5" w:right="75"/>
      </w:pPr>
      <w:r w:rsidRPr="00DC3A16">
        <w:rPr>
          <w:highlight w:val="black"/>
        </w:rPr>
        <w:t xml:space="preserve">Enrico Calabrese, Sergio </w:t>
      </w:r>
      <w:proofErr w:type="spellStart"/>
      <w:r w:rsidRPr="00DC3A16">
        <w:rPr>
          <w:highlight w:val="black"/>
        </w:rPr>
        <w:t>Maiolla</w:t>
      </w:r>
      <w:proofErr w:type="spellEnd"/>
      <w:r w:rsidRPr="00DC3A16">
        <w:rPr>
          <w:highlight w:val="black"/>
        </w:rPr>
        <w:t xml:space="preserve">, Serena </w:t>
      </w:r>
      <w:proofErr w:type="spellStart"/>
      <w:r w:rsidRPr="00DC3A16">
        <w:rPr>
          <w:highlight w:val="black"/>
        </w:rPr>
        <w:t>Gaddi</w:t>
      </w:r>
      <w:proofErr w:type="spellEnd"/>
      <w:r>
        <w:t>, Ministero dell'</w:t>
      </w:r>
      <w:proofErr w:type="spellStart"/>
      <w:r>
        <w:t>Istrizione</w:t>
      </w:r>
      <w:proofErr w:type="spellEnd"/>
      <w:r>
        <w:t xml:space="preserve"> e del</w:t>
      </w:r>
    </w:p>
    <w:p w:rsidR="00AF722F" w:rsidRDefault="00BC28D9">
      <w:pPr>
        <w:ind w:left="-5" w:right="75"/>
      </w:pPr>
      <w:r>
        <w:lastRenderedPageBreak/>
        <w:t>Merito, Mistero dell'Istruzione e del Me</w:t>
      </w:r>
      <w:r>
        <w:t xml:space="preserve">rito Ufficio Scolastico Regionale </w:t>
      </w:r>
      <w:proofErr w:type="spellStart"/>
      <w:r>
        <w:t>Fvg</w:t>
      </w:r>
      <w:proofErr w:type="spellEnd"/>
      <w:r>
        <w:t xml:space="preserve">, Istituto Volta, rappresentati e difesi dall'avvocato Michela Bacchetti, con domicilio digitale come da PEC da Registri di Giustizia; </w:t>
      </w:r>
      <w:r>
        <w:rPr>
          <w:b/>
          <w:i/>
        </w:rPr>
        <w:t>per l'annullamento</w:t>
      </w:r>
    </w:p>
    <w:p w:rsidR="00AF722F" w:rsidRDefault="00BC28D9">
      <w:pPr>
        <w:numPr>
          <w:ilvl w:val="0"/>
          <w:numId w:val="1"/>
        </w:numPr>
        <w:ind w:right="75" w:hanging="300"/>
      </w:pPr>
      <w:r>
        <w:t>del Decreto Ministeriale n. 267/2007 che disciplina le modalità p</w:t>
      </w:r>
      <w:r>
        <w:t xml:space="preserve">rocedimentali </w:t>
      </w:r>
      <w:proofErr w:type="spellStart"/>
      <w:r>
        <w:t>peril</w:t>
      </w:r>
      <w:proofErr w:type="spellEnd"/>
      <w:r>
        <w:t xml:space="preserve"> riconoscimento della parità scolastica e il suo mantenimento e del Decreto Ministeriale n. 83/2008 che definisce le Linee Guida di attuazione del medesimo DM 267/2007, aventi efficacia su tutto il territorio nazionale, nella parte in cu</w:t>
      </w:r>
      <w:r>
        <w:t>i disciplinano il procedimento di revoca della parità scolastica, senza prevedere un termine preciso per la conclusione del procedimento e senza prevedere un contraddittorio rafforzato con l'Istituto scolastico, e nella parte in cui vadano interpretati nel</w:t>
      </w:r>
      <w:r>
        <w:t xml:space="preserve"> senso di prevedere quali gravi irregolarità di funzionamento quelle individuate dai provvedimenti di revoca della parità scolastica impugnati in questa sede e, in ogni caso, ove interpretati nel senso di cui ai provvedimenti impugnati in questa sede;</w:t>
      </w:r>
    </w:p>
    <w:p w:rsidR="00AF722F" w:rsidRDefault="00BC28D9">
      <w:pPr>
        <w:numPr>
          <w:ilvl w:val="0"/>
          <w:numId w:val="1"/>
        </w:numPr>
        <w:ind w:right="75" w:hanging="300"/>
      </w:pPr>
      <w:r>
        <w:t xml:space="preserve">del </w:t>
      </w:r>
      <w:r>
        <w:t xml:space="preserve">Decreto del Ministero dell'Istruzione e del Merito, USR per il Friuli </w:t>
      </w:r>
      <w:proofErr w:type="spellStart"/>
      <w:proofErr w:type="gramStart"/>
      <w:r>
        <w:t>VeneziaGiulia</w:t>
      </w:r>
      <w:proofErr w:type="spellEnd"/>
      <w:r>
        <w:t xml:space="preserve">  -</w:t>
      </w:r>
      <w:proofErr w:type="gramEnd"/>
      <w:r>
        <w:t xml:space="preserve"> Direzione Generale, n. 14163 del 29/08/2025, con cui è stata disposta la revoca del riconoscimento della parità scolastica a decorrere </w:t>
      </w:r>
      <w:proofErr w:type="spellStart"/>
      <w:r>
        <w:t>dall'a.s.</w:t>
      </w:r>
      <w:proofErr w:type="spellEnd"/>
      <w:r>
        <w:t xml:space="preserve"> 2025/2026 alla </w:t>
      </w:r>
      <w:r w:rsidRPr="00DC3A16">
        <w:rPr>
          <w:highlight w:val="black"/>
        </w:rPr>
        <w:t>Seconda s</w:t>
      </w:r>
      <w:r w:rsidRPr="00DC3A16">
        <w:rPr>
          <w:highlight w:val="black"/>
        </w:rPr>
        <w:t>ezione, Sezione B, della Scuola Secondaria di Il grado, Liceo scientifico opzione scienze applicate “Volta</w:t>
      </w:r>
      <w:r>
        <w:t>”;</w:t>
      </w:r>
    </w:p>
    <w:p w:rsidR="00AF722F" w:rsidRPr="00DC3A16" w:rsidRDefault="00BC28D9">
      <w:pPr>
        <w:numPr>
          <w:ilvl w:val="0"/>
          <w:numId w:val="1"/>
        </w:numPr>
        <w:ind w:right="75" w:hanging="300"/>
        <w:rPr>
          <w:highlight w:val="black"/>
        </w:rPr>
      </w:pPr>
      <w:r>
        <w:t xml:space="preserve">del Decreto del Ministero dell'Istruzione e del Merito, USR per il Friuli </w:t>
      </w:r>
      <w:proofErr w:type="spellStart"/>
      <w:proofErr w:type="gramStart"/>
      <w:r>
        <w:t>VeneziaGiulia</w:t>
      </w:r>
      <w:proofErr w:type="spellEnd"/>
      <w:r>
        <w:t xml:space="preserve">  -</w:t>
      </w:r>
      <w:proofErr w:type="gramEnd"/>
      <w:r>
        <w:t xml:space="preserve"> Direzione Generale, n. 14164 del 29/08/2025 con cui è st</w:t>
      </w:r>
      <w:r>
        <w:t xml:space="preserve">ata disposta la revoca del riconoscimento della parità scolastica a decorrere </w:t>
      </w:r>
      <w:proofErr w:type="spellStart"/>
      <w:r>
        <w:t>dall'a.s.</w:t>
      </w:r>
      <w:proofErr w:type="spellEnd"/>
      <w:r>
        <w:t xml:space="preserve"> 2025/2026 al corso di liceo scientifico opzione </w:t>
      </w:r>
      <w:r w:rsidRPr="00DC3A16">
        <w:rPr>
          <w:highlight w:val="black"/>
        </w:rPr>
        <w:t>scienze applicate “Volta”, al corso di liceo sportivo “Volta”, e al corso di scuola secondaria di primo grado “Volta” di</w:t>
      </w:r>
      <w:r w:rsidRPr="00DC3A16">
        <w:rPr>
          <w:highlight w:val="black"/>
        </w:rPr>
        <w:t xml:space="preserve"> Udine;</w:t>
      </w:r>
    </w:p>
    <w:p w:rsidR="00AF722F" w:rsidRDefault="00BC28D9">
      <w:pPr>
        <w:numPr>
          <w:ilvl w:val="0"/>
          <w:numId w:val="1"/>
        </w:numPr>
        <w:spacing w:after="135" w:line="259" w:lineRule="auto"/>
        <w:ind w:right="75" w:hanging="300"/>
      </w:pPr>
      <w:bookmarkStart w:id="0" w:name="_GoBack"/>
      <w:bookmarkEnd w:id="0"/>
      <w:r>
        <w:t xml:space="preserve">della presupposta nota dell'USR Friuli Venezia Giulia </w:t>
      </w:r>
      <w:proofErr w:type="spellStart"/>
      <w:r>
        <w:t>prot</w:t>
      </w:r>
      <w:proofErr w:type="spellEnd"/>
      <w:r>
        <w:t>. n. 12238 del</w:t>
      </w:r>
    </w:p>
    <w:p w:rsidR="00AF722F" w:rsidRDefault="00BC28D9">
      <w:pPr>
        <w:spacing w:after="135" w:line="259" w:lineRule="auto"/>
        <w:ind w:left="-5" w:right="75"/>
      </w:pPr>
      <w:r>
        <w:t>25/07/2025, contenente preavviso di revoca della parità scolastica;</w:t>
      </w:r>
    </w:p>
    <w:p w:rsidR="00AF722F" w:rsidRDefault="00BC28D9">
      <w:pPr>
        <w:numPr>
          <w:ilvl w:val="0"/>
          <w:numId w:val="1"/>
        </w:numPr>
        <w:ind w:right="75" w:hanging="300"/>
      </w:pPr>
      <w:r>
        <w:t xml:space="preserve">della presupposta relazione ispettiva assunta al </w:t>
      </w:r>
      <w:proofErr w:type="spellStart"/>
      <w:r>
        <w:t>prot</w:t>
      </w:r>
      <w:proofErr w:type="spellEnd"/>
      <w:r>
        <w:t>. AOODRFVG n. 14074 del29/08/2025;</w:t>
      </w:r>
    </w:p>
    <w:p w:rsidR="00AF722F" w:rsidRDefault="00BC28D9">
      <w:pPr>
        <w:numPr>
          <w:ilvl w:val="0"/>
          <w:numId w:val="1"/>
        </w:numPr>
        <w:ind w:right="75" w:hanging="300"/>
      </w:pPr>
      <w:r>
        <w:lastRenderedPageBreak/>
        <w:t>del presupposto ver</w:t>
      </w:r>
      <w:r>
        <w:t xml:space="preserve">bale della visita ispettiva </w:t>
      </w:r>
      <w:proofErr w:type="spellStart"/>
      <w:r>
        <w:t>prot</w:t>
      </w:r>
      <w:proofErr w:type="spellEnd"/>
      <w:r>
        <w:t xml:space="preserve">. n. 891 del 29/08/2025 e </w:t>
      </w:r>
      <w:proofErr w:type="spellStart"/>
      <w:r>
        <w:t>degliatti</w:t>
      </w:r>
      <w:proofErr w:type="spellEnd"/>
      <w:r>
        <w:t xml:space="preserve">, di estremi ignoti, presupposti alla stessa relazione ispettiva (incarico </w:t>
      </w:r>
      <w:proofErr w:type="spellStart"/>
      <w:r>
        <w:t>prot</w:t>
      </w:r>
      <w:proofErr w:type="spellEnd"/>
      <w:r>
        <w:t xml:space="preserve">. AOODRFVG 3660 del 04.03.2025, prorogato con nota </w:t>
      </w:r>
      <w:proofErr w:type="spellStart"/>
      <w:r>
        <w:t>prot</w:t>
      </w:r>
      <w:proofErr w:type="spellEnd"/>
      <w:r>
        <w:t>. AOODRFVG 8722 del 30.05.2025 e successivamente prorog</w:t>
      </w:r>
      <w:r>
        <w:t xml:space="preserve">ato al 29 luglio 2025 con nota </w:t>
      </w:r>
      <w:proofErr w:type="spellStart"/>
      <w:r>
        <w:t>prot</w:t>
      </w:r>
      <w:proofErr w:type="spellEnd"/>
      <w:r>
        <w:t>.</w:t>
      </w:r>
    </w:p>
    <w:p w:rsidR="00AF722F" w:rsidRDefault="00BC28D9">
      <w:pPr>
        <w:spacing w:after="135" w:line="259" w:lineRule="auto"/>
        <w:ind w:left="-5" w:right="75"/>
      </w:pPr>
      <w:r>
        <w:t>AOODRFVG 8982 del 05.06.2025);</w:t>
      </w:r>
    </w:p>
    <w:p w:rsidR="00AF722F" w:rsidRDefault="00BC28D9">
      <w:pPr>
        <w:numPr>
          <w:ilvl w:val="0"/>
          <w:numId w:val="1"/>
        </w:numPr>
        <w:ind w:right="75" w:hanging="300"/>
      </w:pPr>
      <w:r>
        <w:t xml:space="preserve">del successivo avviso pubblico diramato dall'USR FVG </w:t>
      </w:r>
      <w:proofErr w:type="spellStart"/>
      <w:r>
        <w:t>prot</w:t>
      </w:r>
      <w:proofErr w:type="spellEnd"/>
      <w:r>
        <w:t>. n. 15183 del16/09/2025, avente ad oggetto “Comunicazione revoca parità scolastica liceo scientifico opzione scienze applicate “</w:t>
      </w:r>
      <w:r w:rsidRPr="00DC3A16">
        <w:rPr>
          <w:highlight w:val="black"/>
        </w:rPr>
        <w:t>Vo</w:t>
      </w:r>
      <w:r w:rsidRPr="00DC3A16">
        <w:rPr>
          <w:highlight w:val="black"/>
        </w:rPr>
        <w:t>lta</w:t>
      </w:r>
      <w:r>
        <w:t xml:space="preserve">”, </w:t>
      </w:r>
      <w:r w:rsidRPr="00DC3A16">
        <w:rPr>
          <w:highlight w:val="black"/>
        </w:rPr>
        <w:t>codice meccanografico: UDPS0G500U, sede operativa viale Ungheria, 22, Udine, liceo sportivo “Volta”, codice meccanografico: UDPSBD500N, sede operativa viale Ungheria, 22, Udine, scuola secondaria di primo grado “Volta”, codice meccanografico: UD1MD85</w:t>
      </w:r>
      <w:r w:rsidRPr="00DC3A16">
        <w:rPr>
          <w:highlight w:val="black"/>
        </w:rPr>
        <w:t>00H, sede operativa viale Ungheria, 22, Udine</w:t>
      </w:r>
      <w:r>
        <w:t>”;</w:t>
      </w:r>
    </w:p>
    <w:p w:rsidR="00AF722F" w:rsidRDefault="00BC28D9">
      <w:pPr>
        <w:numPr>
          <w:ilvl w:val="0"/>
          <w:numId w:val="1"/>
        </w:numPr>
        <w:spacing w:after="254"/>
        <w:ind w:right="75" w:hanging="300"/>
      </w:pPr>
      <w:r>
        <w:t xml:space="preserve">di ogni atto e provvedimento di data e di estremi ignoti presupposto, connesso </w:t>
      </w:r>
      <w:proofErr w:type="spellStart"/>
      <w:r>
        <w:t>oconsequenziale</w:t>
      </w:r>
      <w:proofErr w:type="spellEnd"/>
      <w:r>
        <w:t>, o collegato anteriore e successivo, comunque denominato, alla predetta revoca della parità scolastica.</w:t>
      </w:r>
    </w:p>
    <w:p w:rsidR="00AF722F" w:rsidRDefault="00BC28D9">
      <w:pPr>
        <w:spacing w:after="135" w:line="259" w:lineRule="auto"/>
        <w:ind w:left="-5" w:right="75"/>
      </w:pPr>
      <w:r>
        <w:t>Visti il ricorso e i relativi allegati;</w:t>
      </w:r>
    </w:p>
    <w:p w:rsidR="00AF722F" w:rsidRDefault="00BC28D9">
      <w:pPr>
        <w:spacing w:after="135" w:line="259" w:lineRule="auto"/>
        <w:ind w:left="-5" w:right="75"/>
      </w:pPr>
      <w:r>
        <w:t>Visti gli atti di costituzione in giudizio di Ministero dell'Istruzione e del Merito e di</w:t>
      </w:r>
    </w:p>
    <w:p w:rsidR="00AF722F" w:rsidRDefault="00BC28D9">
      <w:pPr>
        <w:spacing w:after="135" w:line="259" w:lineRule="auto"/>
        <w:ind w:left="-5" w:right="75"/>
      </w:pPr>
      <w:r>
        <w:t>Ufficio Scolastico Regionale Friuli Venezia Giulia;</w:t>
      </w:r>
    </w:p>
    <w:p w:rsidR="00AF722F" w:rsidRDefault="00BC28D9">
      <w:pPr>
        <w:spacing w:after="135" w:line="259" w:lineRule="auto"/>
        <w:ind w:left="-5" w:right="75"/>
      </w:pPr>
      <w:r>
        <w:t>Visti tutti gli atti della causa;</w:t>
      </w:r>
    </w:p>
    <w:p w:rsidR="00AF722F" w:rsidRDefault="00BC28D9">
      <w:pPr>
        <w:spacing w:after="267" w:line="355" w:lineRule="auto"/>
        <w:ind w:left="-5"/>
        <w:jc w:val="left"/>
      </w:pPr>
      <w:r>
        <w:t>Relatore nell'udienza pubblica del giorn</w:t>
      </w:r>
      <w:r>
        <w:t>o 6 maggio 2026 il dott. Ciro Daniele Piro e uditi per le parti i difensori come specificato nel verbale; Ritenuto e considerato in fatto e diritto quanto segue.</w:t>
      </w:r>
    </w:p>
    <w:p w:rsidR="00AF722F" w:rsidRDefault="00BC28D9">
      <w:pPr>
        <w:pStyle w:val="Titolo1"/>
        <w:ind w:left="10" w:right="164"/>
      </w:pPr>
      <w:r>
        <w:t xml:space="preserve">FATTO </w:t>
      </w:r>
      <w:proofErr w:type="gramStart"/>
      <w:r>
        <w:t>e</w:t>
      </w:r>
      <w:proofErr w:type="gramEnd"/>
      <w:r>
        <w:t xml:space="preserve"> DIRITTO</w:t>
      </w:r>
    </w:p>
    <w:p w:rsidR="00AF722F" w:rsidRDefault="00BC28D9">
      <w:pPr>
        <w:numPr>
          <w:ilvl w:val="0"/>
          <w:numId w:val="2"/>
        </w:numPr>
        <w:ind w:right="75"/>
      </w:pPr>
      <w:r>
        <w:t xml:space="preserve">Con il ricorso in esame l'istituto scolastico ha impugnato i decreti meglio </w:t>
      </w:r>
      <w:proofErr w:type="spellStart"/>
      <w:r>
        <w:t>indicatiin</w:t>
      </w:r>
      <w:proofErr w:type="spellEnd"/>
      <w:r>
        <w:t xml:space="preserve"> epigrafe con cui il Ministero dell’Istruzione e del Merito, Ufficio Scolastico Regionale per il Friuli Venezia Giulia, ha disposto per l'anno scolastico 2025/2026 la rev</w:t>
      </w:r>
      <w:r>
        <w:t xml:space="preserve">oca del riconoscimento dello status di scuola paritaria alla </w:t>
      </w:r>
      <w:r w:rsidRPr="00DC3A16">
        <w:rPr>
          <w:highlight w:val="black"/>
        </w:rPr>
        <w:t>Seconda sezione, Sezione B, della Scuola Secondaria di Il grado, Liceo scientifico opzione scienze</w:t>
      </w:r>
      <w:r>
        <w:t xml:space="preserve"> </w:t>
      </w:r>
      <w:r w:rsidRPr="00DC3A16">
        <w:rPr>
          <w:highlight w:val="black"/>
        </w:rPr>
        <w:lastRenderedPageBreak/>
        <w:t xml:space="preserve">applicate “Volta e al corso di liceo scientifico opzione scienze applicate “Volta”, al corso di </w:t>
      </w:r>
      <w:r w:rsidRPr="00DC3A16">
        <w:rPr>
          <w:highlight w:val="black"/>
        </w:rPr>
        <w:t>liceo sportivo “Volta”, e al corso di scuola secondaria di primo grado “Volta” di Udine</w:t>
      </w:r>
      <w:r>
        <w:t>.</w:t>
      </w:r>
    </w:p>
    <w:p w:rsidR="00AF722F" w:rsidRDefault="00BC28D9">
      <w:pPr>
        <w:ind w:left="-5" w:right="75"/>
      </w:pPr>
      <w:r>
        <w:t xml:space="preserve">1.1. In particolare, gli impugnati provvedimenti hanno revocato la parità in considerazione delle anomalie emerse in sede di accertamento ispettivo (incarico </w:t>
      </w:r>
      <w:proofErr w:type="spellStart"/>
      <w:r>
        <w:t>prot</w:t>
      </w:r>
      <w:proofErr w:type="spellEnd"/>
      <w:r>
        <w:t>. AOO</w:t>
      </w:r>
      <w:r>
        <w:t xml:space="preserve">DRFVG 3660 del 04.03.2025, prorogato con nota </w:t>
      </w:r>
      <w:proofErr w:type="spellStart"/>
      <w:r>
        <w:t>prot</w:t>
      </w:r>
      <w:proofErr w:type="spellEnd"/>
      <w:r>
        <w:t xml:space="preserve">. AOODRFVG 8722 del 30.05.2025 e successivamente prorogato al 29 luglio 2025 con nota </w:t>
      </w:r>
      <w:proofErr w:type="spellStart"/>
      <w:r>
        <w:t>prot</w:t>
      </w:r>
      <w:proofErr w:type="spellEnd"/>
      <w:r>
        <w:t>. AOODRFVG 8982 del 05.06.2025) e ritenute ancora sussistenti dal provvedimento di revoca, individuati in alcune gra</w:t>
      </w:r>
      <w:r>
        <w:t>vi criticità inerenti al funzionamento didattico ed amministrativo dell’istituzione scolastica paritaria in parola (relativamente alla limitata disponibilità delle aule scolastiche, alla assenza del laboratorio di Chimica e inidoneità del laboratorio di Fi</w:t>
      </w:r>
      <w:r>
        <w:t>sica, alla formazione in tema di sicurezza del personale, alla irregolarità del certificato di vulnerabilità sismica, alla conformità dei quadri orari ai quadri ordinamentali, alla carenza di docenti abilitati, agli esami di idoneità e integrativi, ai regi</w:t>
      </w:r>
      <w:r>
        <w:t xml:space="preserve">stri di esame, alla approvazione di alcuni atti – PTOF, </w:t>
      </w:r>
      <w:proofErr w:type="spellStart"/>
      <w:r>
        <w:t>PdM</w:t>
      </w:r>
      <w:proofErr w:type="spellEnd"/>
      <w:r>
        <w:t xml:space="preserve"> e monte orario – da parte del Collegio dei docenti e non del Consiglio d’Istituto).</w:t>
      </w:r>
    </w:p>
    <w:p w:rsidR="00AF722F" w:rsidRDefault="00BC28D9">
      <w:pPr>
        <w:ind w:left="-5" w:right="75"/>
      </w:pPr>
      <w:r>
        <w:t>A seguito della nota del 25 luglio 2025, recante preavviso di revoca della parità scolastica ai sensi della legg</w:t>
      </w:r>
      <w:r>
        <w:t>e n. 62/2000 e del D.M. 83/2008, con cui l’Ufficio Scolastico Regionale ha comunicato alla scuola paritaria in oggetto le gravi criticità riportate nella citata relazione ispettiva – e esaminati i riscontri forniti dall’istituto il 25.8.2025 – l’USR ha pro</w:t>
      </w:r>
      <w:r>
        <w:t>ceduto alla revoca dei due indirizzi con decreti del</w:t>
      </w:r>
    </w:p>
    <w:p w:rsidR="00AF722F" w:rsidRDefault="00BC28D9">
      <w:pPr>
        <w:spacing w:after="135" w:line="259" w:lineRule="auto"/>
        <w:ind w:left="-5" w:right="75"/>
      </w:pPr>
      <w:r>
        <w:t>29.8.2025 di analogo tenore motivazione.</w:t>
      </w:r>
    </w:p>
    <w:p w:rsidR="00AF722F" w:rsidRDefault="00BC28D9">
      <w:pPr>
        <w:spacing w:after="140" w:line="259" w:lineRule="auto"/>
        <w:ind w:left="-5" w:right="75"/>
      </w:pPr>
      <w:r>
        <w:t>1.2. L’istituto ricorrente ha, quindi, affidato il ricorso ai seguenti motivi così rubricati:</w:t>
      </w:r>
    </w:p>
    <w:p w:rsidR="00AF722F" w:rsidRDefault="00BC28D9">
      <w:pPr>
        <w:ind w:left="-5"/>
      </w:pPr>
      <w:r>
        <w:rPr>
          <w:i/>
        </w:rPr>
        <w:t xml:space="preserve">1). </w:t>
      </w:r>
      <w:r>
        <w:t>“</w:t>
      </w:r>
      <w:r>
        <w:rPr>
          <w:i/>
        </w:rPr>
        <w:t xml:space="preserve">Illegittimità del dm 267/07 e del dm 83/08. Violazione e falsa </w:t>
      </w:r>
      <w:r>
        <w:rPr>
          <w:i/>
        </w:rPr>
        <w:t xml:space="preserve">applicazione dell’art. 1 della legge 10 marzo 2000, n. 62. Violazione degli artt. 23, 24, 33, 41 e 97 </w:t>
      </w:r>
      <w:proofErr w:type="spellStart"/>
      <w:r>
        <w:rPr>
          <w:i/>
        </w:rPr>
        <w:t>cost</w:t>
      </w:r>
      <w:proofErr w:type="spellEnd"/>
      <w:r>
        <w:rPr>
          <w:i/>
        </w:rPr>
        <w:t xml:space="preserve">. Violazione e falsa applicazione degli artt. 2, 3, 10 bis, 21 </w:t>
      </w:r>
      <w:proofErr w:type="spellStart"/>
      <w:r>
        <w:rPr>
          <w:i/>
        </w:rPr>
        <w:t>octies</w:t>
      </w:r>
      <w:proofErr w:type="spellEnd"/>
      <w:r>
        <w:rPr>
          <w:i/>
        </w:rPr>
        <w:t xml:space="preserve"> e 20 della legge n. 241/90. Eccesso di potere nelle sue figure sintomatiche dell</w:t>
      </w:r>
      <w:r>
        <w:rPr>
          <w:i/>
        </w:rPr>
        <w:t>a illogicità e</w:t>
      </w:r>
    </w:p>
    <w:p w:rsidR="00AF722F" w:rsidRDefault="00BC28D9">
      <w:pPr>
        <w:ind w:left="-5"/>
      </w:pPr>
      <w:r>
        <w:rPr>
          <w:i/>
        </w:rPr>
        <w:t>ingiustizia manifeste. Difetto di motivazione e carenza di istruttoria. Violazioni procedurali</w:t>
      </w:r>
      <w:r>
        <w:t>”.</w:t>
      </w:r>
    </w:p>
    <w:p w:rsidR="00AF722F" w:rsidRDefault="00BC28D9">
      <w:pPr>
        <w:ind w:left="-5" w:right="75"/>
      </w:pPr>
      <w:r>
        <w:lastRenderedPageBreak/>
        <w:t xml:space="preserve">Si deduce che il provvedimento di revoca debba essere considerato misura di </w:t>
      </w:r>
      <w:proofErr w:type="spellStart"/>
      <w:r>
        <w:rPr>
          <w:i/>
        </w:rPr>
        <w:t>extrema</w:t>
      </w:r>
      <w:proofErr w:type="spellEnd"/>
      <w:r>
        <w:rPr>
          <w:i/>
        </w:rPr>
        <w:t xml:space="preserve"> ratio</w:t>
      </w:r>
      <w:r>
        <w:t xml:space="preserve"> soggetta a requisiti procedimentali stringenti e, in p</w:t>
      </w:r>
      <w:r>
        <w:t>articolare, alla previa diffida alla regolarizzazione. Tali garanzie, nel caso di specie, sono state vanificate in ragione del lungo ritardo con cui il procedimento ispettivo (avviato ad inizio marzo 2025) si è chiuso (fine luglio 2025), lasciando poco tem</w:t>
      </w:r>
      <w:r>
        <w:t>po all’Istituto per procedere alla regolarizzazione necessaria, con decreto di revoca adottato ad appena tre giorni dall’inizio dell’anno scolastico.</w:t>
      </w:r>
    </w:p>
    <w:p w:rsidR="00AF722F" w:rsidRDefault="00BC28D9">
      <w:pPr>
        <w:numPr>
          <w:ilvl w:val="0"/>
          <w:numId w:val="3"/>
        </w:numPr>
        <w:ind w:right="73"/>
      </w:pPr>
      <w:r>
        <w:rPr>
          <w:i/>
        </w:rPr>
        <w:t xml:space="preserve">“Violazione e falsa applicazione dell’art. 1, l. 62/2000. Violazione e </w:t>
      </w:r>
      <w:proofErr w:type="spellStart"/>
      <w:r>
        <w:rPr>
          <w:i/>
        </w:rPr>
        <w:t>falsaapplicazione</w:t>
      </w:r>
      <w:proofErr w:type="spellEnd"/>
      <w:r>
        <w:rPr>
          <w:i/>
        </w:rPr>
        <w:t xml:space="preserve"> dell’art. 3 del </w:t>
      </w:r>
      <w:proofErr w:type="spellStart"/>
      <w:r>
        <w:rPr>
          <w:i/>
        </w:rPr>
        <w:t>d</w:t>
      </w:r>
      <w:r>
        <w:rPr>
          <w:i/>
        </w:rPr>
        <w:t>.m.</w:t>
      </w:r>
      <w:proofErr w:type="spellEnd"/>
      <w:r>
        <w:rPr>
          <w:i/>
        </w:rPr>
        <w:t xml:space="preserve"> 267/2007 e dell’art. 5 del </w:t>
      </w:r>
      <w:proofErr w:type="spellStart"/>
      <w:r>
        <w:rPr>
          <w:i/>
        </w:rPr>
        <w:t>d.m.</w:t>
      </w:r>
      <w:proofErr w:type="spellEnd"/>
      <w:r>
        <w:rPr>
          <w:i/>
        </w:rPr>
        <w:t xml:space="preserve"> 83/08. Violazione degli artt. 23, 24, 33, 41 e 97 </w:t>
      </w:r>
      <w:proofErr w:type="spellStart"/>
      <w:r>
        <w:rPr>
          <w:i/>
        </w:rPr>
        <w:t>cost</w:t>
      </w:r>
      <w:proofErr w:type="spellEnd"/>
      <w:r>
        <w:rPr>
          <w:i/>
        </w:rPr>
        <w:t>. violazione e falsa applicazione degli artt. 2, 3, 10 bis, 19 e 20 della legge n. 241/90. Eccesso di potere nelle sue figure sintomatiche della illogicità e ingiusti</w:t>
      </w:r>
      <w:r>
        <w:rPr>
          <w:i/>
        </w:rPr>
        <w:t>zia manifeste. difetto di motivazione e carenza di istruttoria. Violazioni procedurali.”</w:t>
      </w:r>
    </w:p>
    <w:p w:rsidR="00AF722F" w:rsidRDefault="00BC28D9">
      <w:pPr>
        <w:ind w:left="-5" w:right="75"/>
      </w:pPr>
      <w:r>
        <w:t>L’Istituto ricorrente lamenta che non vi è stato un effettivo esame delle deduzioni inoltrate dalla scuola sul preavviso, con conseguente violazione delle garanzie pro</w:t>
      </w:r>
      <w:r>
        <w:t>cedimentali della legge 241 del 1990, anche in combinato disposto con l’art. 5.4. e 5.8 del DM 83 del 2008 e 3 del D.M. 267/2007.</w:t>
      </w:r>
    </w:p>
    <w:p w:rsidR="00AF722F" w:rsidRDefault="00BC28D9">
      <w:pPr>
        <w:ind w:left="-5" w:right="153"/>
      </w:pPr>
      <w:r>
        <w:t>L’Istituto avrebbe infatti trasmesso documenti e controdeduzioni non esaminati dall’USR che, nel provvedimento di revoca, non prende posizione sui nuovi elementi o si pronuncia in maniera formale.</w:t>
      </w:r>
    </w:p>
    <w:p w:rsidR="00AF722F" w:rsidRDefault="00BC28D9">
      <w:pPr>
        <w:numPr>
          <w:ilvl w:val="0"/>
          <w:numId w:val="3"/>
        </w:numPr>
        <w:spacing w:after="135" w:line="259" w:lineRule="auto"/>
        <w:ind w:right="73"/>
      </w:pPr>
      <w:r>
        <w:rPr>
          <w:i/>
        </w:rPr>
        <w:t>“</w:t>
      </w:r>
      <w:proofErr w:type="spellStart"/>
      <w:r>
        <w:rPr>
          <w:i/>
        </w:rPr>
        <w:t>Illegittimita’</w:t>
      </w:r>
      <w:proofErr w:type="spellEnd"/>
      <w:r>
        <w:rPr>
          <w:i/>
        </w:rPr>
        <w:t xml:space="preserve"> del dm 267/07 e del dm 83/08 e dei decreti </w:t>
      </w:r>
      <w:r>
        <w:rPr>
          <w:i/>
        </w:rPr>
        <w:t xml:space="preserve">di revoca </w:t>
      </w:r>
      <w:proofErr w:type="spellStart"/>
      <w:r>
        <w:rPr>
          <w:i/>
        </w:rPr>
        <w:t>dellaparita</w:t>
      </w:r>
      <w:proofErr w:type="spellEnd"/>
      <w:r>
        <w:rPr>
          <w:i/>
        </w:rPr>
        <w:t>’ che ne sono diretta applicazione. violazione e falsa applicazione dell’art. 1,</w:t>
      </w:r>
    </w:p>
    <w:p w:rsidR="00AF722F" w:rsidRDefault="00BC28D9">
      <w:pPr>
        <w:ind w:left="-5" w:right="73"/>
      </w:pPr>
      <w:r>
        <w:rPr>
          <w:i/>
        </w:rPr>
        <w:t xml:space="preserve">l. 62/2000. violazione degli artt. 23, 24, 33, 41 e 97 </w:t>
      </w:r>
      <w:proofErr w:type="spellStart"/>
      <w:r>
        <w:rPr>
          <w:i/>
        </w:rPr>
        <w:t>cost</w:t>
      </w:r>
      <w:proofErr w:type="spellEnd"/>
      <w:r>
        <w:rPr>
          <w:i/>
        </w:rPr>
        <w:t>. violazione e falsa applicazione degli artt. 2, 3, 19 e 20 della legge n. 241/90. eccesso di p</w:t>
      </w:r>
      <w:r>
        <w:rPr>
          <w:i/>
        </w:rPr>
        <w:t>otere nelle sue figure sintomatiche della illogicità e ingiustizia manifeste.”</w:t>
      </w:r>
    </w:p>
    <w:p w:rsidR="00AF722F" w:rsidRDefault="00BC28D9">
      <w:pPr>
        <w:ind w:left="-5" w:right="75"/>
      </w:pPr>
      <w:r>
        <w:t>Deduce che la revoca manchi del necessario presupposto relativo alle gravi irregolarità di funzionamento, in quanto le carenze contestate sarebbero inesistenti o comunque supera</w:t>
      </w:r>
      <w:r>
        <w:t>te.</w:t>
      </w:r>
    </w:p>
    <w:p w:rsidR="00AF722F" w:rsidRDefault="00BC28D9">
      <w:pPr>
        <w:ind w:left="-5" w:right="138"/>
      </w:pPr>
      <w:r>
        <w:lastRenderedPageBreak/>
        <w:t>1.3. Con decreto presidenziale n. 5256/2025 del 29.9.2025, è stata accolta l’istanza di misure cautelari monocratiche e, per l’effetto, sono stati sospesi i provvedimenti impugnati fino alla data della camera di consiglio.</w:t>
      </w:r>
    </w:p>
    <w:p w:rsidR="00AF722F" w:rsidRDefault="00BC28D9">
      <w:pPr>
        <w:ind w:left="-5" w:right="75"/>
      </w:pPr>
      <w:r>
        <w:t>1.4. In data 30.9.2025 si è c</w:t>
      </w:r>
      <w:r>
        <w:t>ostituito con memoria formale il Ministero dell’Istruzione e del Merito, Ufficio Scolastico Regionale per il Friuli Venezia Giulia, che ha, poi, depositato memoria difensiva e allegato documenti.</w:t>
      </w:r>
    </w:p>
    <w:p w:rsidR="00AF722F" w:rsidRDefault="00BC28D9">
      <w:pPr>
        <w:ind w:left="-5" w:right="75"/>
      </w:pPr>
      <w:r>
        <w:t xml:space="preserve">1.5. Si costituivano ad </w:t>
      </w:r>
      <w:proofErr w:type="spellStart"/>
      <w:r>
        <w:rPr>
          <w:i/>
        </w:rPr>
        <w:t>adiuvandum</w:t>
      </w:r>
      <w:proofErr w:type="spellEnd"/>
      <w:r>
        <w:t xml:space="preserve"> alcuni studenti iscritti </w:t>
      </w:r>
      <w:r>
        <w:t>nelle classi 5^ dei licei cui è stata revocata la parità e alcuni genitori degli alunni minorenni.</w:t>
      </w:r>
    </w:p>
    <w:p w:rsidR="00AF722F" w:rsidRDefault="00BC28D9">
      <w:pPr>
        <w:ind w:left="-5" w:right="150"/>
      </w:pPr>
      <w:r>
        <w:t>1.6. Alla camera di consiglio del 21.10.2025, previa discussione, il Collegio ha accolto l’istanza cautelare, con ordinanza n. 5862/2025, confermata in appel</w:t>
      </w:r>
      <w:r>
        <w:t>lo dal Consiglio di Stato, con ordinanza n. 4512/2025.</w:t>
      </w:r>
    </w:p>
    <w:p w:rsidR="00AF722F" w:rsidRDefault="00BC28D9">
      <w:pPr>
        <w:numPr>
          <w:ilvl w:val="0"/>
          <w:numId w:val="4"/>
        </w:numPr>
        <w:spacing w:after="135" w:line="259" w:lineRule="auto"/>
        <w:ind w:right="75" w:hanging="300"/>
      </w:pPr>
      <w:r>
        <w:t>– Alla udienza pubblica del 6.5.2026 il ricorso veniva trattenuto in decisione.</w:t>
      </w:r>
    </w:p>
    <w:p w:rsidR="00AF722F" w:rsidRDefault="00BC28D9">
      <w:pPr>
        <w:numPr>
          <w:ilvl w:val="0"/>
          <w:numId w:val="4"/>
        </w:numPr>
        <w:spacing w:after="133"/>
        <w:ind w:right="75" w:hanging="300"/>
      </w:pPr>
      <w:r>
        <w:t xml:space="preserve">– Il Collegio ritiene decisiva e assorbente la censura relativa all’illegittimità </w:t>
      </w:r>
      <w:proofErr w:type="spellStart"/>
      <w:r>
        <w:t>delprovvedimento</w:t>
      </w:r>
      <w:proofErr w:type="spellEnd"/>
      <w:r>
        <w:t xml:space="preserve"> di revoca per difetto </w:t>
      </w:r>
      <w:r>
        <w:t>di istruttoria e difetto di motivazione, alla luce del procedimento disciplinato dall'articolo 5 del D.M. 10 ottobre 2000 n. 83, che contiene le “Linee Guida per lo svolgimento del procedimento per il riconoscimento della parità scolastica e per il suo man</w:t>
      </w:r>
      <w:r>
        <w:t>tenimento” disciplinato, a livello primario dalla legge 10 marzo 2000, n. 62, contenente “Norme per la parità scolastica e disposizioni sul diritto allo studio e all'istruzione”, nonché, a livello regolamentare, dal decreto 29 novembre 2007, n. 267, recant</w:t>
      </w:r>
      <w:r>
        <w:t>e “Disciplina delle modalità procedimentali per il riconoscimento della parità scolastica e per il suo mantenimento, ai sensi dell'articolo 1-bis, comma 2, del decreto-legge 5 dicembre 2005, n. 250, convertito, con modificazioni, dalla legge 3 febbraio 200</w:t>
      </w:r>
      <w:r>
        <w:t>6, n. 27” .</w:t>
      </w:r>
    </w:p>
    <w:p w:rsidR="00AF722F" w:rsidRDefault="00BC28D9">
      <w:pPr>
        <w:numPr>
          <w:ilvl w:val="1"/>
          <w:numId w:val="4"/>
        </w:numPr>
        <w:ind w:right="73"/>
      </w:pPr>
      <w:r>
        <w:t xml:space="preserve">Prima di procedere all’esame della censura, occorre svolgere alcune </w:t>
      </w:r>
      <w:proofErr w:type="spellStart"/>
      <w:r>
        <w:t>breviconsiderazioni</w:t>
      </w:r>
      <w:proofErr w:type="spellEnd"/>
      <w:r>
        <w:t xml:space="preserve"> preliminari sul contesto normativo e regolamentare della vicenda. Il provvedimento di revoca della parità scolastica costituisce misura che, nell’ambito del</w:t>
      </w:r>
      <w:r>
        <w:t xml:space="preserve"> potere di vigilanza dell’amministrazione scolastica sulla permanenza dei requisiti necessari al concorso al sistema nazionale di istruzione </w:t>
      </w:r>
      <w:r>
        <w:lastRenderedPageBreak/>
        <w:t>della scuola ad iniziativa privata, “</w:t>
      </w:r>
      <w:r>
        <w:rPr>
          <w:i/>
        </w:rPr>
        <w:t>rappresenta l’</w:t>
      </w:r>
      <w:proofErr w:type="spellStart"/>
      <w:r>
        <w:rPr>
          <w:i/>
        </w:rPr>
        <w:t>extrema</w:t>
      </w:r>
      <w:proofErr w:type="spellEnd"/>
      <w:r>
        <w:rPr>
          <w:i/>
        </w:rPr>
        <w:t xml:space="preserve"> ratio, in quanto impatta direttamente su diritti fondame</w:t>
      </w:r>
      <w:r>
        <w:rPr>
          <w:i/>
        </w:rPr>
        <w:t>ntali all’istruzione e allo studio individuabili nella parte della Costituzione italiana dedicata alla disciplina della scuola e di tutto ciò che ad essa è tradizionalmente connesso, che trovano emersione in due disposizioni, l'articolo 33 e l'articolo 34,</w:t>
      </w:r>
      <w:r>
        <w:rPr>
          <w:i/>
        </w:rPr>
        <w:t xml:space="preserve"> integrati dall'articolo 117, come riformato nel 2001</w:t>
      </w:r>
      <w:r>
        <w:t xml:space="preserve">” (TAR Piemonte, III, n. 1207/2025; in termini, </w:t>
      </w:r>
      <w:proofErr w:type="spellStart"/>
      <w:r>
        <w:t>Cons</w:t>
      </w:r>
      <w:proofErr w:type="spellEnd"/>
      <w:r>
        <w:t>. Stato, VII, n. 1533/2022). Da tali norme si desumono, poi, “</w:t>
      </w:r>
      <w:r>
        <w:rPr>
          <w:i/>
        </w:rPr>
        <w:t>principi irrinunciabili del sistema scolastico costituzionale, tra i quali: la garanzia d</w:t>
      </w:r>
      <w:r>
        <w:rPr>
          <w:i/>
        </w:rPr>
        <w:t>ella libertà di insegnamento; la necessità che lo Stato fissi le norme generali sull'istruzione, i livelli essenziali e i principi fondamentali del servizio di istruzione, ed istituisca comunque scuole per tutti gli ordini e i gradi dell'istruzione; il ric</w:t>
      </w:r>
      <w:r>
        <w:rPr>
          <w:i/>
        </w:rPr>
        <w:t>onoscimento della libertà dei privati e di altri enti, anche pubblici, circa l'istituzione di scuole, senza oneri per lo Stato; la possibilità che le scuole gestite dai privati o da enti diversi dallo Stato siano parificate a quelle statali; il carattere u</w:t>
      </w:r>
      <w:r>
        <w:rPr>
          <w:i/>
        </w:rPr>
        <w:t>niversale del servizio di istruzione e la garanzia del diritto allo studio; la garanzia dell'autonomia delle istituzioni scolastiche</w:t>
      </w:r>
      <w:r>
        <w:t>” (TAR Campania, Salerno, I, n. 1992/2024).</w:t>
      </w:r>
    </w:p>
    <w:p w:rsidR="00AF722F" w:rsidRDefault="00BC28D9">
      <w:pPr>
        <w:ind w:left="-5" w:right="75"/>
      </w:pPr>
      <w:r>
        <w:t>La legge n. 62 del 2000 ha rappresentato la prima compiuta attuazione del princi</w:t>
      </w:r>
      <w:r>
        <w:t>pio della “parità scolastica” introdotto nella Costituzione e ha esteso definitivamente anche al servizio scolastico l'applicazione di una nozione oggettiva di servizio pubblico accolta già da tempo per molti altri servizi, secondo una corretta interpretaz</w:t>
      </w:r>
      <w:r>
        <w:t>ione costituzionale. Le scuole paritarie non statali, pubbliche e private, vengono così a costituire, insieme alle scuole statali, «il sistema nazionale di istruzione» (articolo 1, comma 1, l. n. 62 del 2000) e, «svolgendo un servizio pubblico» (articolo 1</w:t>
      </w:r>
      <w:r>
        <w:t>, comma 3, terzo periodo), «sono soggette alla valutazione dei processi e degli esiti da parte del sistema nazionale di valutazione secondo gli standard stabiliti dagli ordinamenti vigenti» (articolo 1, comma 5, primo periodo) e «il Ministero della pubblic</w:t>
      </w:r>
      <w:r>
        <w:t>a istruzione accerta l'originario possesso e la permanenza dei requisiti per il riconoscimento della parità» (articolo 1, comma 6).</w:t>
      </w:r>
    </w:p>
    <w:p w:rsidR="00AF722F" w:rsidRDefault="00BC28D9">
      <w:pPr>
        <w:ind w:left="-5" w:right="75"/>
      </w:pPr>
      <w:r>
        <w:lastRenderedPageBreak/>
        <w:t>Il decreto 29 novembre 2007, n. 267, ha poi introdotto il Regolamento recante “</w:t>
      </w:r>
      <w:r>
        <w:rPr>
          <w:i/>
        </w:rPr>
        <w:t xml:space="preserve">Disciplina delle modalità procedimentali per </w:t>
      </w:r>
      <w:r>
        <w:rPr>
          <w:i/>
        </w:rPr>
        <w:t>il riconoscimento della parità scolastica e per il suo mantenimento, ai sensi dell'articolo 1-bis, comma 2, del decreto-legge 5 dicembre 2005, n. 250, convertito, con modificazioni, dalla legge 3 febbraio 2006, n. 27</w:t>
      </w:r>
      <w:r>
        <w:t>”, stabilendo le procedure di riconoscim</w:t>
      </w:r>
      <w:r>
        <w:t xml:space="preserve">ento e di mantenimento della parità scolastica, dettando non solo i requisiti sostanziali richiesti, ma anche una specifica tempistica (30 giugno per provvedimento di riconoscimento o di diniego della parità scolastica, mentre il 30 settembre di ogni anno </w:t>
      </w:r>
      <w:r>
        <w:t>viene indicata quale data di comunicazione al competente ufficio scolastico regionale della permanenza del possesso dei requisiti richiesti dalle norme vigenti da parte del gestore o rappresentante legale dell’istituto scolastico).</w:t>
      </w:r>
    </w:p>
    <w:p w:rsidR="00AF722F" w:rsidRDefault="00BC28D9">
      <w:pPr>
        <w:numPr>
          <w:ilvl w:val="1"/>
          <w:numId w:val="4"/>
        </w:numPr>
        <w:ind w:right="73"/>
      </w:pPr>
      <w:r>
        <w:t>Con specifico riferiment</w:t>
      </w:r>
      <w:r>
        <w:t xml:space="preserve">o al procedimento di revoca, nel citato regolamento </w:t>
      </w:r>
      <w:proofErr w:type="spellStart"/>
      <w:r>
        <w:t>dicui</w:t>
      </w:r>
      <w:proofErr w:type="spellEnd"/>
      <w:r>
        <w:t xml:space="preserve"> al DM n. 267/2007, è previsto, all’articolo 3, che «</w:t>
      </w:r>
      <w:r>
        <w:rPr>
          <w:i/>
        </w:rPr>
        <w:t>In caso di mancata osservanza delle prescrizioni di cui ai commi 1 e 2 ovvero di irregolarità di funzionamento, l'ufficio scolastico invita la scu</w:t>
      </w:r>
      <w:r>
        <w:rPr>
          <w:i/>
        </w:rPr>
        <w:t>ola interessata, mediante comunicazione formale, a provvedere alle dovute regolarizzazioni entro il termine perentorio di 30 giorni. Scaduto il predetto termine senza che la scuola abbia provveduto, l'ufficio scolastico regionale dispone gli opportuni acce</w:t>
      </w:r>
      <w:r>
        <w:rPr>
          <w:i/>
        </w:rPr>
        <w:t xml:space="preserve">rtamenti anche ai fini del successivo articolo 5. Ai fini di cui al presente comma, per irregolarità di funzionamento sono da intendersi tutte quelle correlate alla carente rispondenza delle situazioni di fatto ai requisiti previsti dall'articolo 1, comma </w:t>
      </w:r>
      <w:r>
        <w:rPr>
          <w:i/>
        </w:rPr>
        <w:t>4, della legge 10 marzo 2000, n. 62, alle disposizioni del presente regolamento nonché alle disposizioni vigenti in materia di esami di Stato</w:t>
      </w:r>
      <w:r>
        <w:t>». Ed ancora, ai successivi commi 6 e 7, è previsto che «</w:t>
      </w:r>
      <w:r>
        <w:rPr>
          <w:i/>
        </w:rPr>
        <w:t>L'ufficio scolastico regionale accerta comunque la permane</w:t>
      </w:r>
      <w:r>
        <w:rPr>
          <w:i/>
        </w:rPr>
        <w:t>nza dei requisiti prescritti, di cui all'articolo 1, mediante apposite verifiche ispettive che potranno essere disposte in qualsiasi momento</w:t>
      </w:r>
      <w:r>
        <w:t>» e «</w:t>
      </w:r>
      <w:r>
        <w:rPr>
          <w:i/>
        </w:rPr>
        <w:t>Nel caso in cui sia accertata la sopravvenuta carenza di uno o più dei requisiti richiesti, l'ufficio scolastic</w:t>
      </w:r>
      <w:r>
        <w:rPr>
          <w:i/>
        </w:rPr>
        <w:t xml:space="preserve">o regionale invita la scuola a ripristinare il requisito o i requisiti mancanti, assegnando il relativo termine, </w:t>
      </w:r>
      <w:r>
        <w:rPr>
          <w:i/>
        </w:rPr>
        <w:lastRenderedPageBreak/>
        <w:t>di norma non superiore a trenta giorni. Scaduto il termine assegnato senza che la scuola abbia provveduto a ripristinare il requisito o i requi</w:t>
      </w:r>
      <w:r>
        <w:rPr>
          <w:i/>
        </w:rPr>
        <w:t>siti prescritti, l'ufficio scolastico regionale provvede alla revoca del provvedimento con cui è stata disposta la parità, secondo quanto previsto dal successivo articolo 4.</w:t>
      </w:r>
      <w:r>
        <w:t>».</w:t>
      </w:r>
    </w:p>
    <w:p w:rsidR="00AF722F" w:rsidRDefault="00BC28D9">
      <w:pPr>
        <w:spacing w:after="135" w:line="259" w:lineRule="auto"/>
        <w:ind w:left="-5" w:right="75"/>
      </w:pPr>
      <w:r>
        <w:t>In particolare, lo specifico iter procedurale per la revoca prevede:</w:t>
      </w:r>
    </w:p>
    <w:p w:rsidR="00AF722F" w:rsidRDefault="00BC28D9">
      <w:pPr>
        <w:ind w:left="-5" w:right="75"/>
      </w:pPr>
      <w:r>
        <w:t>a) in primo luogo, una comunicazione formale all'istituto sulle gravi irregolarità riscontrate (o sul venir meno dei requisiti previsti per il riconoscimento), con invito allo stesso a far cessare, entro il termine perentorio di trenta giorni, la situazion</w:t>
      </w:r>
      <w:r>
        <w:t>e di irregolarità (ovvero anche a ripristinare i requisiti venuti meno) ed una successiva verifica dell'intervenuta regolarizzazione o del ripristino dei requisiti; b) solo all'esito dell'accertamento della mancata cessazione della situazione di irregolari</w:t>
      </w:r>
      <w:r>
        <w:t>tà o della perdurante carenza dei requisiti, l'amministrazione può disporre la revoca del riconoscimento della parità scolastica a carico dell'istituto interessato.</w:t>
      </w:r>
    </w:p>
    <w:p w:rsidR="00AF722F" w:rsidRDefault="00BC28D9">
      <w:pPr>
        <w:ind w:left="-5" w:right="75"/>
      </w:pPr>
      <w:r>
        <w:t>Il meccanismo di legge è, quindi, unico, sia in caso di mancata osservanza delle prescrizio</w:t>
      </w:r>
      <w:r>
        <w:t>ni di cui ai commi 1 e 2 ovvero di irregolarità di funzionamento (comma 3), sia in caso di sopravvenuta carenza di uno o più dei requisiti richiesti (comma 7) e prevede, dunque, che la verifica ispettiva costituisce solo il punto di partenza del procedimen</w:t>
      </w:r>
      <w:r>
        <w:t xml:space="preserve">to. La fase successiva è la richiesta di regolarizzare le irregolarità riscontrate ovvero di ripristinare il requisito o i requisiti mancanti, entro trenta giorni. Esaurita tale fase, l'Ufficio Scolastico Regionale, nel caso in cui non ritenga </w:t>
      </w:r>
      <w:proofErr w:type="spellStart"/>
      <w:r>
        <w:t>accoglibili</w:t>
      </w:r>
      <w:proofErr w:type="spellEnd"/>
      <w:r>
        <w:t xml:space="preserve"> </w:t>
      </w:r>
      <w:r>
        <w:t xml:space="preserve">le eventuali osservazioni presentate, ovvero se le ritenga </w:t>
      </w:r>
      <w:proofErr w:type="spellStart"/>
      <w:r>
        <w:t>accoglibili</w:t>
      </w:r>
      <w:proofErr w:type="spellEnd"/>
      <w:r>
        <w:t xml:space="preserve"> solo in parte, deve accertare che le irregolarità non sono state sanate ed emettere, se del caso, il provvedimento di revoca della parità scolastica. Solo all'esito dell'accertamento de</w:t>
      </w:r>
      <w:r>
        <w:t>lla mancata cessazione della situazione di irregolarità o della carenza dei requisiti, l'amministrazione può disporre la revoca del riconoscimento della parità scolastica a carico dell'istituto interessato.</w:t>
      </w:r>
    </w:p>
    <w:p w:rsidR="00AF722F" w:rsidRDefault="00BC28D9">
      <w:pPr>
        <w:ind w:left="-5" w:right="73"/>
      </w:pPr>
      <w:r>
        <w:t>L'articolo 3 par. 7 del citato D.M., infatti, sta</w:t>
      </w:r>
      <w:r>
        <w:t>bilisce che «</w:t>
      </w:r>
      <w:r>
        <w:rPr>
          <w:i/>
        </w:rPr>
        <w:t xml:space="preserve">nel caso in cui sia accertata la sopravvenuta carenza di uno o più dei requisiti richiesti, l'Ufficio Scolastico Regionale invita la scuola a ripristinare il requisito o i requisiti mancanti, assegnando </w:t>
      </w:r>
      <w:r>
        <w:rPr>
          <w:i/>
        </w:rPr>
        <w:lastRenderedPageBreak/>
        <w:t>il relativo termine di norma non superio</w:t>
      </w:r>
      <w:r>
        <w:rPr>
          <w:i/>
        </w:rPr>
        <w:t>re a trenta giorni. Scaduto il termine assegnato senza che la scuola abbia provveduto a ripristinare il requisito o i requisiti prescritti, l'ufficio scolastico regionale provvede alla revoca del provvedimento con cui è stata disposta la parità</w:t>
      </w:r>
      <w:r>
        <w:t>».</w:t>
      </w:r>
    </w:p>
    <w:p w:rsidR="00AF722F" w:rsidRDefault="00BC28D9">
      <w:pPr>
        <w:ind w:left="-5" w:right="75"/>
      </w:pPr>
      <w:r>
        <w:t>3.3. Si t</w:t>
      </w:r>
      <w:r>
        <w:t>ratta, pertanto, “</w:t>
      </w:r>
      <w:r>
        <w:rPr>
          <w:i/>
        </w:rPr>
        <w:t>di un procedimento a contraddittorio rafforzato</w:t>
      </w:r>
      <w:r>
        <w:t xml:space="preserve">”, sia in caso di accertamento di irregolarità di funzionamento, sia in caso di accertamento della sopravvenuta carenza dei requisiti, rispetto al contraddittorio procedimentale disciplinato </w:t>
      </w:r>
      <w:r>
        <w:t>dalla legge generale 241/1990, perché prescrive una interlocuzione con l’istituto scolastico che va al di là del preavviso di diniego ex articolo 10-</w:t>
      </w:r>
      <w:r>
        <w:rPr>
          <w:i/>
        </w:rPr>
        <w:t>bis</w:t>
      </w:r>
      <w:r>
        <w:t xml:space="preserve"> della legge 241/90, “</w:t>
      </w:r>
      <w:r>
        <w:rPr>
          <w:i/>
        </w:rPr>
        <w:t>imponendo un invito specifico alla formulazione delle osservazioni e all’eventuale</w:t>
      </w:r>
      <w:r>
        <w:rPr>
          <w:i/>
        </w:rPr>
        <w:t xml:space="preserve"> ripristino delle irregolarità riscontrate o dei requisiti accertati come mancanti</w:t>
      </w:r>
      <w:r>
        <w:t xml:space="preserve">” (TAR Campania, Salerno, I, n. 1833/2024, confermata da </w:t>
      </w:r>
      <w:proofErr w:type="spellStart"/>
      <w:r>
        <w:t>Cons</w:t>
      </w:r>
      <w:proofErr w:type="spellEnd"/>
      <w:r>
        <w:t>. St., VII, n. 1707/2026).</w:t>
      </w:r>
    </w:p>
    <w:p w:rsidR="00AF722F" w:rsidRDefault="00BC28D9">
      <w:pPr>
        <w:spacing w:after="0" w:line="355" w:lineRule="auto"/>
        <w:ind w:left="-5"/>
        <w:jc w:val="left"/>
      </w:pPr>
      <w:r>
        <w:t>Va evidenziato che la mancata predeterminazione di un termine per la chiusura del proc</w:t>
      </w:r>
      <w:r>
        <w:t xml:space="preserve">edimento di verifica, a differenza del termine </w:t>
      </w:r>
      <w:proofErr w:type="spellStart"/>
      <w:r>
        <w:t>decadenziale</w:t>
      </w:r>
      <w:proofErr w:type="spellEnd"/>
      <w:r>
        <w:t xml:space="preserve"> previsto specificamente </w:t>
      </w:r>
      <w:r>
        <w:tab/>
        <w:t xml:space="preserve">a </w:t>
      </w:r>
      <w:r>
        <w:tab/>
        <w:t xml:space="preserve">carico </w:t>
      </w:r>
      <w:r>
        <w:tab/>
        <w:t xml:space="preserve">dell’istituto </w:t>
      </w:r>
      <w:r>
        <w:tab/>
        <w:t xml:space="preserve">interessato </w:t>
      </w:r>
      <w:r>
        <w:tab/>
        <w:t xml:space="preserve">dalle </w:t>
      </w:r>
      <w:r>
        <w:tab/>
        <w:t>verifiche, produce evidentemente il rischio che il provvedimento finale di revoca della parità venga adottato da parte dell’U</w:t>
      </w:r>
      <w:r>
        <w:t>fficio Scolastico Regionale a ridosso dell’inizio dell’anno scolastico, quando ormai sono chiuse le procedure di iscrizione e organizzazione delle classi, con gravi ripercussioni.</w:t>
      </w:r>
    </w:p>
    <w:p w:rsidR="00AF722F" w:rsidRDefault="00BC28D9">
      <w:pPr>
        <w:ind w:left="-5" w:right="73"/>
      </w:pPr>
      <w:r>
        <w:t>Come sostenuto in giurisprudenza “</w:t>
      </w:r>
      <w:r>
        <w:rPr>
          <w:i/>
        </w:rPr>
        <w:t>la concessione del beneficio della regolar</w:t>
      </w:r>
      <w:r>
        <w:rPr>
          <w:i/>
        </w:rPr>
        <w:t>izzazione: (i) risponde alla necessità di evitare che vengano meno realtà scolastiche su cui comunque l'amministrazione ha già in precedenza esercitato funzioni amministrative concedendo l'accreditamento; (li) applica i principi di proporzionalità, di libe</w:t>
      </w:r>
      <w:r>
        <w:rPr>
          <w:i/>
        </w:rPr>
        <w:t xml:space="preserve">rtà di insegnamento (articolo 33 </w:t>
      </w:r>
      <w:proofErr w:type="spellStart"/>
      <w:r>
        <w:rPr>
          <w:i/>
        </w:rPr>
        <w:t>Cost</w:t>
      </w:r>
      <w:proofErr w:type="spellEnd"/>
      <w:r>
        <w:rPr>
          <w:i/>
        </w:rPr>
        <w:t xml:space="preserve">.) e di libera iniziativa economica (articolo 41 </w:t>
      </w:r>
      <w:proofErr w:type="spellStart"/>
      <w:r>
        <w:rPr>
          <w:i/>
        </w:rPr>
        <w:t>Cost</w:t>
      </w:r>
      <w:proofErr w:type="spellEnd"/>
      <w:r>
        <w:rPr>
          <w:i/>
        </w:rPr>
        <w:t>.); (iii) consente di rispondere alla domanda di istruzione che viene dalla società e che non sempre trova riscontro nelle esistente strutture pubbliche o private. So</w:t>
      </w:r>
      <w:r>
        <w:rPr>
          <w:i/>
        </w:rPr>
        <w:t xml:space="preserve">tto tale profilo l'interruzione drastica del percorso di istruzione degli studenti è una circostanza che, nella misura del ragionevole, occorre evitare, </w:t>
      </w:r>
      <w:r>
        <w:rPr>
          <w:i/>
        </w:rPr>
        <w:lastRenderedPageBreak/>
        <w:t>bilanciando l'interesse alla continuità didattica con quello inerente all'osservanza delle prescrizioni</w:t>
      </w:r>
      <w:r>
        <w:rPr>
          <w:i/>
        </w:rPr>
        <w:t xml:space="preserve"> dettate a tutela della medesima comunità scolastica. In questo senso la pertinente normativa prevede la necessaria previa diffida a regolarizzare, in applicazione avanzata del "principio della fiducia" e del "principio del risultato", precipitati dei supe</w:t>
      </w:r>
      <w:r>
        <w:rPr>
          <w:i/>
        </w:rPr>
        <w:t>riori paradigmi costituzionali in precedenza citati e qui richiamati solo al fine di sintetizzare l'orizzonte esegetico in cui il Collegio ritiene di inquadrare la vicenda in esame.</w:t>
      </w:r>
      <w:r>
        <w:t>” (cfr., da ultimo, TAR Lazio, Roma, 27 giugno 2023, n. 10825).</w:t>
      </w:r>
    </w:p>
    <w:p w:rsidR="00AF722F" w:rsidRDefault="00BC28D9">
      <w:pPr>
        <w:ind w:left="-5" w:right="73"/>
      </w:pPr>
      <w:r>
        <w:t>3.4. Si dev</w:t>
      </w:r>
      <w:r>
        <w:t>e sottolineare che la peculiare articolazione, in funzione di garanzia, del contraddittorio procedimentale “</w:t>
      </w:r>
      <w:r>
        <w:rPr>
          <w:i/>
        </w:rPr>
        <w:t>deve trovare evidenza nel provvedimento finale dell’Ufficio Scolastico Regionale, in quanto deve dare atto di aver preso in debita considerazione le</w:t>
      </w:r>
      <w:r>
        <w:rPr>
          <w:i/>
        </w:rPr>
        <w:t xml:space="preserve"> controdeduzioni formulate dall’istituto scolastico interessato, provvedendo anche ad accertare in concreto – sul piano documentale ovvero a seguito di necessaria ispezione - la mancata cessazione della situazione di irregolarità o della sopravvenuta caren</w:t>
      </w:r>
      <w:r>
        <w:rPr>
          <w:i/>
        </w:rPr>
        <w:t>za dei requisiti</w:t>
      </w:r>
      <w:r>
        <w:t>” (TAR Piemonte, III, n.</w:t>
      </w:r>
    </w:p>
    <w:p w:rsidR="00AF722F" w:rsidRDefault="00BC28D9">
      <w:pPr>
        <w:spacing w:after="135" w:line="259" w:lineRule="auto"/>
        <w:ind w:left="-5" w:right="75"/>
      </w:pPr>
      <w:r>
        <w:t>1207/2025; TAR Campania, Salerno, I, n. 1751/2024).</w:t>
      </w:r>
    </w:p>
    <w:p w:rsidR="00AF722F" w:rsidRDefault="00BC28D9">
      <w:pPr>
        <w:ind w:left="-5" w:right="75"/>
      </w:pPr>
      <w:r>
        <w:t>In altri termini, il rafforzamento del contraddittorio procedimentale consiste non tanto nell’imposizione all’amministrazione di svolgere – sempre- ulteriori accertamenti ispettivi ai fini del rispetto della sopra citata disciplina speciale, ma, quantomeno</w:t>
      </w:r>
      <w:r>
        <w:t xml:space="preserve">, di </w:t>
      </w:r>
      <w:proofErr w:type="spellStart"/>
      <w:r>
        <w:t>controdedurre</w:t>
      </w:r>
      <w:proofErr w:type="spellEnd"/>
      <w:r>
        <w:t xml:space="preserve"> specificamente e analiticamente rispetto alle osservazioni dell’istituto scolastico, soprattutto laddove, come nel caso di specie, sono tutte </w:t>
      </w:r>
      <w:proofErr w:type="spellStart"/>
      <w:r>
        <w:t>asseritamente</w:t>
      </w:r>
      <w:proofErr w:type="spellEnd"/>
      <w:r>
        <w:t xml:space="preserve"> volte a superare le criticità riscontrate nel corso delle ispezioni compiute, con</w:t>
      </w:r>
      <w:r>
        <w:t xml:space="preserve"> allegazione di copiosa documentazione.</w:t>
      </w:r>
    </w:p>
    <w:p w:rsidR="00AF722F" w:rsidRDefault="00BC28D9">
      <w:pPr>
        <w:ind w:left="-5" w:right="73"/>
      </w:pPr>
      <w:r>
        <w:t>Pertanto, l’aggravamento procedurale si traduce in un maggior onere motivazionale del provvedimento finale di revoca dello status di parità scolastica: a tal fine “</w:t>
      </w:r>
      <w:r>
        <w:rPr>
          <w:i/>
        </w:rPr>
        <w:t>non assume rilievo la dedotta distinzione tra le pro</w:t>
      </w:r>
      <w:r>
        <w:rPr>
          <w:i/>
        </w:rPr>
        <w:t xml:space="preserve">cedure disciplinate rispettivamente dai commi 3 e 7 dell’art. 3 del </w:t>
      </w:r>
      <w:proofErr w:type="spellStart"/>
      <w:r>
        <w:rPr>
          <w:i/>
        </w:rPr>
        <w:t>d.m.</w:t>
      </w:r>
      <w:proofErr w:type="spellEnd"/>
      <w:r>
        <w:rPr>
          <w:i/>
        </w:rPr>
        <w:t xml:space="preserve"> n. 267/2007, in quanto in entrambi i casi a fronte di specifiche osservazioni rese dalla parte privata a sostegno della tesi della assenza di ragioni giustificative la revoca e della </w:t>
      </w:r>
      <w:r>
        <w:rPr>
          <w:i/>
        </w:rPr>
        <w:t xml:space="preserve">risoluzione delle problematiche rilevate con allegazione di documentazione, la valutazione dell’amministrazione non può </w:t>
      </w:r>
      <w:r>
        <w:rPr>
          <w:i/>
        </w:rPr>
        <w:lastRenderedPageBreak/>
        <w:t>prescindere da uno specifico esame di tali osservazioni, eventualmente anche con un sopralluogo in contraddittorio e non può invece limi</w:t>
      </w:r>
      <w:r>
        <w:rPr>
          <w:i/>
        </w:rPr>
        <w:t xml:space="preserve">tarsi a tenere ferme senza adeguata motivazione le originarie </w:t>
      </w:r>
      <w:proofErr w:type="spellStart"/>
      <w:r>
        <w:rPr>
          <w:i/>
        </w:rPr>
        <w:t>cointestazioni</w:t>
      </w:r>
      <w:proofErr w:type="spellEnd"/>
      <w:r>
        <w:rPr>
          <w:i/>
        </w:rPr>
        <w:t>.</w:t>
      </w:r>
      <w:r>
        <w:t>” (</w:t>
      </w:r>
      <w:proofErr w:type="spellStart"/>
      <w:r>
        <w:t>Cons</w:t>
      </w:r>
      <w:proofErr w:type="spellEnd"/>
      <w:r>
        <w:t>. St., VII, n.</w:t>
      </w:r>
    </w:p>
    <w:p w:rsidR="00AF722F" w:rsidRDefault="00BC28D9">
      <w:pPr>
        <w:spacing w:after="135" w:line="259" w:lineRule="auto"/>
        <w:ind w:left="-5" w:right="75"/>
      </w:pPr>
      <w:r>
        <w:t>1707/2026).</w:t>
      </w:r>
    </w:p>
    <w:p w:rsidR="00AF722F" w:rsidRDefault="00BC28D9">
      <w:pPr>
        <w:numPr>
          <w:ilvl w:val="0"/>
          <w:numId w:val="5"/>
        </w:numPr>
        <w:ind w:right="75"/>
      </w:pPr>
      <w:r>
        <w:t>– Nella fattispecie in esame, a seguito dell’avvio della verifica ispettiva (</w:t>
      </w:r>
      <w:proofErr w:type="spellStart"/>
      <w:r>
        <w:t>notaUSR</w:t>
      </w:r>
      <w:proofErr w:type="spellEnd"/>
      <w:r>
        <w:t xml:space="preserve"> 3660 del 4.3.2025), l’USR provvedeva a formulare una contest</w:t>
      </w:r>
      <w:r>
        <w:t>azione di gravi irregolarità soltanto in data 25.7.2025 (</w:t>
      </w:r>
      <w:proofErr w:type="spellStart"/>
      <w:r>
        <w:t>prot</w:t>
      </w:r>
      <w:proofErr w:type="spellEnd"/>
      <w:r>
        <w:t>. 12238), con atto che conteneva, da un lato, una diffida a regolarizzare, dall’altro, un preavviso di revoca.</w:t>
      </w:r>
    </w:p>
    <w:p w:rsidR="00AF722F" w:rsidRDefault="00BC28D9">
      <w:pPr>
        <w:ind w:left="-5" w:right="75"/>
      </w:pPr>
      <w:r>
        <w:t>Quindi, nel termine concesso, l’Istituto provvedeva a presentare il riscontro, con n</w:t>
      </w:r>
      <w:r>
        <w:t>ota del 23.8.2025, con la quale per ciascuna delle 23 irregolarità contestate dall’USR forniva un riscontro con cui rappresentava la loro insussistenza o l’avvenuto superamento.</w:t>
      </w:r>
    </w:p>
    <w:p w:rsidR="00AF722F" w:rsidRDefault="00BC28D9">
      <w:pPr>
        <w:ind w:left="-5" w:right="75"/>
      </w:pPr>
      <w:r>
        <w:t>In seguito al riscontro fornito dall’istituto scolastico ricorrente, l’USR pro</w:t>
      </w:r>
      <w:r>
        <w:t>vvedeva ad effettuare un accertamento ispettivo il 26.8.2025 e, acquisiti gli esiti il 29.8.2025, procedeva nella stessa data a disporre la revoca impugnata.</w:t>
      </w:r>
    </w:p>
    <w:p w:rsidR="00AF722F" w:rsidRDefault="00BC28D9">
      <w:pPr>
        <w:ind w:left="-5" w:right="75"/>
      </w:pPr>
      <w:r>
        <w:t>Nell’atto di revoca, tuttavia, l’USR non ha provveduto ad effettuare un concreto accertamento dell</w:t>
      </w:r>
      <w:r>
        <w:t>a mancata cessazione della situazione di irregolarità e della carenza dei requisiti, e, comunque, a fornire una motivazione analitica dell’insufficienza delle controdeduzioni e dei documenti prodotti in sede procedimentale dall’istituto scolastico, vieppiù</w:t>
      </w:r>
      <w:r>
        <w:t xml:space="preserve"> necessaria in considerazione della pluralità delle contestazioni mosse e della distanza temporale intercorsa tra gli accertamenti effettuati dagli ispettori come detto avviati il 4.3.2025 e prorogati il 30.5.2025) e il provvedimento finale di revoca (29 a</w:t>
      </w:r>
      <w:r>
        <w:t>gosto 2025).</w:t>
      </w:r>
    </w:p>
    <w:p w:rsidR="00AF722F" w:rsidRDefault="00BC28D9">
      <w:pPr>
        <w:numPr>
          <w:ilvl w:val="1"/>
          <w:numId w:val="5"/>
        </w:numPr>
        <w:ind w:right="75" w:hanging="525"/>
      </w:pPr>
      <w:r>
        <w:t xml:space="preserve">Ed invero, nei provvedimenti impugnati, le carenze ritenute </w:t>
      </w:r>
      <w:proofErr w:type="spellStart"/>
      <w:r>
        <w:t>ancora“permanenti</w:t>
      </w:r>
      <w:proofErr w:type="spellEnd"/>
      <w:r>
        <w:t xml:space="preserve">”, nonostante i riscontri forniti dall’istituto scolastico interessato, sono elencate per punti nei quali la risposta alle controdeduzioni risulta puramente formale, </w:t>
      </w:r>
      <w:r>
        <w:t xml:space="preserve">in quanto fondata esclusivamente su dati documentali già in possesso dell’Ufficio scolastico regionale ovvero sulle risultanze della relazione ispettiva, e non dà conto adeguatamente delle </w:t>
      </w:r>
      <w:r>
        <w:lastRenderedPageBreak/>
        <w:t>controdeduzioni e dei nuovi documenti trasmessi in sede procediment</w:t>
      </w:r>
      <w:r>
        <w:t>ale nella successiva data del 23.8.2025, limitandosi a ribadire quanto aveva già evidenziato nel preavviso di revoca.</w:t>
      </w:r>
    </w:p>
    <w:p w:rsidR="00AF722F" w:rsidRDefault="00BC28D9">
      <w:pPr>
        <w:numPr>
          <w:ilvl w:val="1"/>
          <w:numId w:val="5"/>
        </w:numPr>
        <w:spacing w:after="135" w:line="259" w:lineRule="auto"/>
        <w:ind w:right="75" w:hanging="525"/>
      </w:pPr>
      <w:r>
        <w:t>Nello specifico:</w:t>
      </w:r>
    </w:p>
    <w:p w:rsidR="00AF722F" w:rsidRDefault="00BC28D9">
      <w:pPr>
        <w:spacing w:after="135" w:line="259" w:lineRule="auto"/>
        <w:ind w:left="-5" w:right="73"/>
      </w:pPr>
      <w:r>
        <w:rPr>
          <w:i/>
        </w:rPr>
        <w:t>a) Sulla disponibilità di aule e laboratori</w:t>
      </w:r>
    </w:p>
    <w:p w:rsidR="00AF722F" w:rsidRDefault="00BC28D9">
      <w:pPr>
        <w:numPr>
          <w:ilvl w:val="0"/>
          <w:numId w:val="6"/>
        </w:numPr>
        <w:ind w:right="75"/>
      </w:pPr>
      <w:r>
        <w:t xml:space="preserve">l’USR contesta che le aule non siano sufficienti ad ospitare gli alunni delle </w:t>
      </w:r>
      <w:proofErr w:type="spellStart"/>
      <w:r>
        <w:t>classiattive</w:t>
      </w:r>
      <w:proofErr w:type="spellEnd"/>
      <w:r>
        <w:t>, ritenendo che le 15 aule siano “appena sufficienti” a tal fine e che i laboratori necessari per gli insegnamenti di Fisica e Chimica risultino assenti o in ogni cas</w:t>
      </w:r>
      <w:r>
        <w:t>o inidonei;</w:t>
      </w:r>
    </w:p>
    <w:p w:rsidR="00AF722F" w:rsidRDefault="00BC28D9">
      <w:pPr>
        <w:numPr>
          <w:ilvl w:val="0"/>
          <w:numId w:val="6"/>
        </w:numPr>
        <w:ind w:right="75"/>
      </w:pPr>
      <w:r>
        <w:t xml:space="preserve">la contestazione tuttavia non considera gli elementi forniti nel </w:t>
      </w:r>
      <w:proofErr w:type="spellStart"/>
      <w:r>
        <w:t>riscontrodell’Istituto</w:t>
      </w:r>
      <w:proofErr w:type="spellEnd"/>
      <w:r>
        <w:t>, nel quale si dava atto della disponibilità di ulteriori 5 aule, dando prova del contratto di locazione stipulato con un istituto seminariale limitrofo (not</w:t>
      </w:r>
      <w:r>
        <w:t>a del 23.8.2025, p. 4; all.1,1B e 1C);</w:t>
      </w:r>
    </w:p>
    <w:p w:rsidR="00AF722F" w:rsidRDefault="00BC28D9">
      <w:pPr>
        <w:numPr>
          <w:ilvl w:val="0"/>
          <w:numId w:val="6"/>
        </w:numPr>
        <w:ind w:right="75"/>
      </w:pPr>
      <w:r>
        <w:t>in merito ai laboratori, il provvedimento non appare valutare l’idoneità dell’</w:t>
      </w:r>
      <w:proofErr w:type="spellStart"/>
      <w:r>
        <w:t>aulaindicata</w:t>
      </w:r>
      <w:proofErr w:type="spellEnd"/>
      <w:r>
        <w:t xml:space="preserve"> nelle planimetrie ad ospitare il laboratorio di Fisica (con capienza di 30 mq); in ogni caso, nel corso del procedimento – com</w:t>
      </w:r>
      <w:r>
        <w:t>e documentato dai rilievi fotografici – il profilo appare essere stato regolarizzato, risultando due distinti laboratori destinati alle due discipline (nota del 23.8.2025, all.to 1C e all.to 13 al ricorso);</w:t>
      </w:r>
    </w:p>
    <w:p w:rsidR="00AF722F" w:rsidRDefault="00BC28D9">
      <w:pPr>
        <w:spacing w:line="259" w:lineRule="auto"/>
        <w:ind w:left="-5" w:right="73"/>
      </w:pPr>
      <w:r>
        <w:rPr>
          <w:i/>
        </w:rPr>
        <w:t>b) Sulla formazione in materia di sicurezza dei l</w:t>
      </w:r>
      <w:r>
        <w:rPr>
          <w:i/>
        </w:rPr>
        <w:t>avoratori</w:t>
      </w:r>
    </w:p>
    <w:p w:rsidR="00AF722F" w:rsidRDefault="00BC28D9">
      <w:pPr>
        <w:numPr>
          <w:ilvl w:val="0"/>
          <w:numId w:val="7"/>
        </w:numPr>
        <w:ind w:right="75"/>
      </w:pPr>
      <w:r>
        <w:t xml:space="preserve">l’USR rileva che il personale della scuola non risulterebbe formato in materia </w:t>
      </w:r>
      <w:proofErr w:type="spellStart"/>
      <w:r>
        <w:t>disicurezza</w:t>
      </w:r>
      <w:proofErr w:type="spellEnd"/>
      <w:r>
        <w:t>, primo soccorso e antincendio con conseguente esposizione dell’utenza, oltreché di ciascun addetto, a tutti i rischi che possono conseguire dalla carenza d</w:t>
      </w:r>
      <w:r>
        <w:t>elle figure preposte alla prevenzione;</w:t>
      </w:r>
    </w:p>
    <w:p w:rsidR="00AF722F" w:rsidRDefault="00BC28D9">
      <w:pPr>
        <w:numPr>
          <w:ilvl w:val="0"/>
          <w:numId w:val="7"/>
        </w:numPr>
        <w:ind w:right="75"/>
      </w:pPr>
      <w:r>
        <w:t xml:space="preserve">il rilievo non tiene in considerazione quanto l’Istituto ha prodotto a riscontro </w:t>
      </w:r>
      <w:proofErr w:type="spellStart"/>
      <w:r>
        <w:t>delladiffida</w:t>
      </w:r>
      <w:proofErr w:type="spellEnd"/>
      <w:r>
        <w:t>, ovvero da un lato di aver provveduto a richiedere presso gli enti la specifica formazione in oggetto (non immediatamente a</w:t>
      </w:r>
      <w:r>
        <w:t xml:space="preserve">ttivabile, atteso il periodo feriale) e, dall’altro, l’avvenuta individuazione, come da allegati in atti, dei dipendenti </w:t>
      </w:r>
      <w:r>
        <w:lastRenderedPageBreak/>
        <w:t>responsabili con i relativi attestati di formazione (nota del 23.8.2025, p. 5; all.to 21 al ricorso);</w:t>
      </w:r>
    </w:p>
    <w:p w:rsidR="00AF722F" w:rsidRDefault="00BC28D9">
      <w:pPr>
        <w:spacing w:after="135" w:line="259" w:lineRule="auto"/>
        <w:ind w:left="-5" w:right="73"/>
      </w:pPr>
      <w:r>
        <w:rPr>
          <w:i/>
        </w:rPr>
        <w:t>c) Sul certificato di vulnerabili</w:t>
      </w:r>
      <w:r>
        <w:rPr>
          <w:i/>
        </w:rPr>
        <w:t>tà sismica</w:t>
      </w:r>
    </w:p>
    <w:p w:rsidR="00AF722F" w:rsidRDefault="00BC28D9">
      <w:pPr>
        <w:numPr>
          <w:ilvl w:val="0"/>
          <w:numId w:val="8"/>
        </w:numPr>
        <w:ind w:right="75" w:hanging="195"/>
      </w:pPr>
      <w:r>
        <w:t xml:space="preserve">l’USR ritiene che il certificato di vulnerabilità sismica non risulti conforme </w:t>
      </w:r>
      <w:proofErr w:type="spellStart"/>
      <w:r>
        <w:t>aquanto</w:t>
      </w:r>
      <w:proofErr w:type="spellEnd"/>
      <w:r>
        <w:t xml:space="preserve"> previsto dall'OPCM n. 3274 del 20 marzo 2003, in quanto mancante della necessaria e preliminare relazione tecnica;</w:t>
      </w:r>
    </w:p>
    <w:p w:rsidR="00AF722F" w:rsidRDefault="00BC28D9">
      <w:pPr>
        <w:numPr>
          <w:ilvl w:val="0"/>
          <w:numId w:val="8"/>
        </w:numPr>
        <w:ind w:right="75" w:hanging="195"/>
      </w:pPr>
      <w:r>
        <w:t xml:space="preserve">va sul punto rilevato che la contestazione </w:t>
      </w:r>
      <w:r>
        <w:t xml:space="preserve">si fonda su un requisito diverso </w:t>
      </w:r>
      <w:proofErr w:type="spellStart"/>
      <w:r>
        <w:t>daquello</w:t>
      </w:r>
      <w:proofErr w:type="spellEnd"/>
      <w:r>
        <w:t xml:space="preserve"> oggetto della originaria diffida, in cui si limitava a rilevare l’assenza di una documentazione di vulnerabilità sismica, poi debitamente trasmessa all’USR in sede di riscontro (nota del 23.8.2025, p. 6, all.to 9);</w:t>
      </w:r>
    </w:p>
    <w:p w:rsidR="00AF722F" w:rsidRDefault="00BC28D9">
      <w:pPr>
        <w:numPr>
          <w:ilvl w:val="0"/>
          <w:numId w:val="8"/>
        </w:numPr>
        <w:spacing w:after="135" w:line="259" w:lineRule="auto"/>
        <w:ind w:right="75" w:hanging="195"/>
      </w:pPr>
      <w:r>
        <w:t>in ogni caso, l’Istituto ha successivamente richiesto anche la relazione preliminare</w:t>
      </w:r>
    </w:p>
    <w:p w:rsidR="00AF722F" w:rsidRDefault="00BC28D9">
      <w:pPr>
        <w:spacing w:after="135" w:line="259" w:lineRule="auto"/>
        <w:ind w:left="-5" w:right="75"/>
      </w:pPr>
      <w:r>
        <w:t>(all.to 22);</w:t>
      </w:r>
    </w:p>
    <w:p w:rsidR="00AF722F" w:rsidRDefault="00BC28D9">
      <w:pPr>
        <w:ind w:left="-5" w:right="75"/>
      </w:pPr>
      <w:r>
        <w:rPr>
          <w:i/>
        </w:rPr>
        <w:t xml:space="preserve">d) Sulla conformità dei quadri orari delle lezioni ai quadri orari ordinamentali </w:t>
      </w:r>
      <w:r>
        <w:t>- l’USR ritiene la prescrizione non adempiuta, senza considerare quanto invi</w:t>
      </w:r>
      <w:r>
        <w:t>ato dall’Istituto a riscontro ossia il verbale del Collegio docenti del 21 agosto 2025 con il quale i quadri orari settimanali di lezione, per l’A.S. 2025/26 sono stati conformati per ciascuna classe paritaria autorizzata, agli ordinamenti nel rispetto del</w:t>
      </w:r>
      <w:r>
        <w:t xml:space="preserve"> monte ore annuale previsto per ciascuna disciplina;</w:t>
      </w:r>
    </w:p>
    <w:p w:rsidR="00AF722F" w:rsidRDefault="00BC28D9">
      <w:pPr>
        <w:ind w:left="-5" w:right="150"/>
      </w:pPr>
      <w:r>
        <w:t>- l’atto di revoca non spiega l’inidoneità delle iniziative intraprese dall’Istituto a sanare il profilo in questione, né ad indicare la gravità del perdurante inadempimento al fine di fondare la dispost</w:t>
      </w:r>
      <w:r>
        <w:t>a revoca;</w:t>
      </w:r>
    </w:p>
    <w:p w:rsidR="00AF722F" w:rsidRDefault="00BC28D9">
      <w:pPr>
        <w:spacing w:after="135" w:line="259" w:lineRule="auto"/>
        <w:ind w:left="-5" w:right="73"/>
      </w:pPr>
      <w:r>
        <w:rPr>
          <w:i/>
        </w:rPr>
        <w:t>e) Carenza di docenti abilitati e dei relativi contratti</w:t>
      </w:r>
    </w:p>
    <w:p w:rsidR="00AF722F" w:rsidRDefault="00BC28D9">
      <w:pPr>
        <w:numPr>
          <w:ilvl w:val="0"/>
          <w:numId w:val="9"/>
        </w:numPr>
        <w:ind w:right="75"/>
      </w:pPr>
      <w:r>
        <w:t xml:space="preserve">l’USR ritiene la prescrizione non adempiuta in quanto, l’Istituto risulterebbe </w:t>
      </w:r>
      <w:proofErr w:type="spellStart"/>
      <w:r>
        <w:t>privodi</w:t>
      </w:r>
      <w:proofErr w:type="spellEnd"/>
      <w:r>
        <w:t xml:space="preserve"> docenti in possesso delle abilitazioni previste dalle vigenti disposizioni;</w:t>
      </w:r>
    </w:p>
    <w:p w:rsidR="00AF722F" w:rsidRDefault="00BC28D9">
      <w:pPr>
        <w:numPr>
          <w:ilvl w:val="0"/>
          <w:numId w:val="9"/>
        </w:numPr>
        <w:ind w:right="75"/>
      </w:pPr>
      <w:r>
        <w:t xml:space="preserve">al riguardo va rilevato che il provvedimento non motiva in ordine alla </w:t>
      </w:r>
      <w:proofErr w:type="spellStart"/>
      <w:r>
        <w:t>circostanzaper</w:t>
      </w:r>
      <w:proofErr w:type="spellEnd"/>
      <w:r>
        <w:t xml:space="preserve"> cui l’Istituto ha dato prova di aver ricercato personale in possesso del titolo di abilitazione e non tiene conto delle controdeduzioni offerte sul punto dalla parte rico</w:t>
      </w:r>
      <w:r>
        <w:t>rrente. Anche tale elemento, pertanto, avrebbe richiesto una più approfondita istruttoria, che non emerge dalla lettura del provvedimento;</w:t>
      </w:r>
    </w:p>
    <w:p w:rsidR="00AF722F" w:rsidRDefault="00BC28D9">
      <w:pPr>
        <w:numPr>
          <w:ilvl w:val="0"/>
          <w:numId w:val="9"/>
        </w:numPr>
        <w:ind w:right="75"/>
      </w:pPr>
      <w:r>
        <w:lastRenderedPageBreak/>
        <w:t xml:space="preserve">con riferimento alle contestazioni relative ai singoli docenti (come eccepite </w:t>
      </w:r>
      <w:proofErr w:type="spellStart"/>
      <w:r>
        <w:t>ingiudizio</w:t>
      </w:r>
      <w:proofErr w:type="spellEnd"/>
      <w:r>
        <w:t xml:space="preserve"> dalla difesa erariale), vale</w:t>
      </w:r>
      <w:r>
        <w:t xml:space="preserve"> rilevare che le stesse non tengono conto della documentazione depositata in sede di riscontro (all.to 11 al riscontro del 23.8.2025), rispetto alla quale il provvedimento di revoca si limita a ribadire genericamente la relativa persistenza; in ogni caso, </w:t>
      </w:r>
      <w:r>
        <w:t xml:space="preserve">le contestazioni appaiono in fatto ridimensionate dalle deduzioni presentate con la memoria del 3.4.2026, con cui parte ricorrente ha chiarito per ciascun professore oggetto di indagine il regime contrattuale e il titolo di insegnamento (doc. 24-26) senza </w:t>
      </w:r>
      <w:r>
        <w:t>ricevere specifica confutazione in sede di replica);</w:t>
      </w:r>
    </w:p>
    <w:p w:rsidR="00AF722F" w:rsidRDefault="00BC28D9">
      <w:pPr>
        <w:spacing w:after="135" w:line="259" w:lineRule="auto"/>
        <w:ind w:left="-5" w:right="73"/>
      </w:pPr>
      <w:r>
        <w:rPr>
          <w:i/>
        </w:rPr>
        <w:t>f) Dichiarazione relativa agli esami di idoneità e agli esami preliminari</w:t>
      </w:r>
    </w:p>
    <w:p w:rsidR="00AF722F" w:rsidRDefault="00BC28D9">
      <w:pPr>
        <w:numPr>
          <w:ilvl w:val="0"/>
          <w:numId w:val="10"/>
        </w:numPr>
        <w:ind w:right="74" w:hanging="195"/>
      </w:pPr>
      <w:r>
        <w:t xml:space="preserve">l’USR ritiene la prescrizione non adempiuta, ribadendo l’assenza della </w:t>
      </w:r>
      <w:proofErr w:type="spellStart"/>
      <w:r>
        <w:t>prescrittadichiarazione</w:t>
      </w:r>
      <w:proofErr w:type="spellEnd"/>
      <w:r>
        <w:t xml:space="preserve"> del legale rappresentante e del co</w:t>
      </w:r>
      <w:r>
        <w:t>ordinatore delle attività educative e didattiche “</w:t>
      </w:r>
      <w:r>
        <w:rPr>
          <w:i/>
        </w:rPr>
        <w:t>che, relativamente agli esami di idoneità e agli esami preliminari all’esame di Stato, effettuati a partire dall’anno scolastico di riconoscimento della parità scolastica, i candidati non sono stati prepara</w:t>
      </w:r>
      <w:r>
        <w:rPr>
          <w:i/>
        </w:rPr>
        <w:t>ti dall’Ente gestore stesso o che non hanno frequentato scuole non paritarie che dipendano dallo stesso gestore o da altro, con cui il gestore abbia comunque comunanza d'interessi, come previsto dalla l. n. 27/2006, art. 1-bis, comma 3</w:t>
      </w:r>
      <w:r>
        <w:t>”;</w:t>
      </w:r>
    </w:p>
    <w:p w:rsidR="00AF722F" w:rsidRDefault="00BC28D9">
      <w:pPr>
        <w:numPr>
          <w:ilvl w:val="0"/>
          <w:numId w:val="10"/>
        </w:numPr>
        <w:spacing w:after="135" w:line="259" w:lineRule="auto"/>
        <w:ind w:right="74" w:hanging="195"/>
      </w:pPr>
      <w:r>
        <w:t>in sede di riscont</w:t>
      </w:r>
      <w:r>
        <w:t>ro, tuttavia, l’Istituto allegava le dichiarazioni richieste (nota del</w:t>
      </w:r>
    </w:p>
    <w:p w:rsidR="00AF722F" w:rsidRDefault="00BC28D9">
      <w:pPr>
        <w:ind w:left="-5" w:right="75"/>
      </w:pPr>
      <w:r>
        <w:t xml:space="preserve">23.8.2025, p. 7) che, nella specie, non appaiono esaminate dall’USR nell’ambito del decreto di revoca, non motivando in ordine alla permanente inidoneità delle predette dichiarazioni a </w:t>
      </w:r>
      <w:r>
        <w:t>sanare il profilo in questione, ovvero a quali iniziative avrebbero dovuto essere intraprese in merito;</w:t>
      </w:r>
    </w:p>
    <w:p w:rsidR="00AF722F" w:rsidRDefault="00BC28D9">
      <w:pPr>
        <w:ind w:left="-5" w:right="75"/>
      </w:pPr>
      <w:r>
        <w:rPr>
          <w:i/>
        </w:rPr>
        <w:t xml:space="preserve">g) Sui registri degli esami di idoneità e degli esami preliminari agli esami di Stato </w:t>
      </w:r>
      <w:r>
        <w:t xml:space="preserve">- l’USR ha ritenuto la prescrizione non adempiuta, ciò sulla base </w:t>
      </w:r>
      <w:r>
        <w:t>del solo rilievo per cui la regolarizzazione è avvenuta da parte del Collegio docenti e non della</w:t>
      </w:r>
    </w:p>
    <w:p w:rsidR="00AF722F" w:rsidRDefault="00BC28D9">
      <w:pPr>
        <w:spacing w:after="135" w:line="259" w:lineRule="auto"/>
        <w:ind w:left="-5" w:right="75"/>
      </w:pPr>
      <w:r>
        <w:t>Commissione di esame;</w:t>
      </w:r>
    </w:p>
    <w:p w:rsidR="00AF722F" w:rsidRDefault="00BC28D9">
      <w:pPr>
        <w:numPr>
          <w:ilvl w:val="0"/>
          <w:numId w:val="11"/>
        </w:numPr>
        <w:ind w:right="75"/>
      </w:pPr>
      <w:r>
        <w:t xml:space="preserve">anche in tal caso, il provvedimento non offre alcuna motivazione di </w:t>
      </w:r>
      <w:proofErr w:type="spellStart"/>
      <w:r>
        <w:t>quantodedotto</w:t>
      </w:r>
      <w:proofErr w:type="spellEnd"/>
      <w:r>
        <w:t xml:space="preserve"> dall’Istituto ricorrente nel riscontro del 23.8.2025 i</w:t>
      </w:r>
      <w:r>
        <w:t xml:space="preserve">n merito alla coincidenza della composizione dei due organi (come in effetti emerge dai verbali </w:t>
      </w:r>
      <w:r>
        <w:lastRenderedPageBreak/>
        <w:t>allegati, sub doc. 29 e 30), specialmente avuto riguardo al profilo oggetto di contestazione, relativo in particolare ad un errore nelle denominazioni delle mat</w:t>
      </w:r>
      <w:r>
        <w:t>erie di esame, di carattere eminentemente formale (alla luce della coincidenza dei programmi d’esame, come confermata dal docente di riferimento; cfr. all.to 10 al riscontro); nello stesso senso, neppure appare essere stato valutato il preciso incarico aff</w:t>
      </w:r>
      <w:r>
        <w:t xml:space="preserve">idato al Coordinatore di ripristinare le corrette denominazioni ministeriali nell’ambito delle attività relative all’anno in corso; </w:t>
      </w:r>
      <w:r>
        <w:rPr>
          <w:i/>
        </w:rPr>
        <w:t>h) Sui documenti di programmazione</w:t>
      </w:r>
    </w:p>
    <w:p w:rsidR="00AF722F" w:rsidRDefault="00BC28D9">
      <w:pPr>
        <w:numPr>
          <w:ilvl w:val="0"/>
          <w:numId w:val="11"/>
        </w:numPr>
        <w:ind w:right="75"/>
      </w:pPr>
      <w:r>
        <w:t xml:space="preserve">l’USR contesta che l’Istituto non ha provveduto a integrare alcune carenze </w:t>
      </w:r>
      <w:proofErr w:type="spellStart"/>
      <w:r>
        <w:t>deidocumenti</w:t>
      </w:r>
      <w:proofErr w:type="spellEnd"/>
      <w:r>
        <w:t xml:space="preserve"> d</w:t>
      </w:r>
      <w:r>
        <w:t>i programmazione, tra cui il PTOF e il regolamento di disciplina; - l’Istituto ha dedotto, nel riscontro, di aver proceduto a convocare il collegio docenti e il consiglio di istituto a tal fine, ma che dato il periodo feriale, lo stesso è potuto avvenire s</w:t>
      </w:r>
      <w:r>
        <w:t>olo a fine agosto – inizio settembre;</w:t>
      </w:r>
    </w:p>
    <w:p w:rsidR="00AF722F" w:rsidRDefault="00BC28D9">
      <w:pPr>
        <w:numPr>
          <w:ilvl w:val="0"/>
          <w:numId w:val="11"/>
        </w:numPr>
        <w:ind w:right="75"/>
      </w:pPr>
      <w:r>
        <w:t xml:space="preserve">nel corso del procedimento, ha dato prova dell’avvenuta convocazione </w:t>
      </w:r>
      <w:proofErr w:type="spellStart"/>
      <w:r>
        <w:t>delconsiglio</w:t>
      </w:r>
      <w:proofErr w:type="spellEnd"/>
      <w:r>
        <w:t xml:space="preserve"> d’istituto in data 27.9.2025 e della regolarizzazione del profilo in esame.</w:t>
      </w:r>
    </w:p>
    <w:p w:rsidR="00AF722F" w:rsidRDefault="00BC28D9">
      <w:pPr>
        <w:spacing w:after="135" w:line="259" w:lineRule="auto"/>
        <w:ind w:left="-5" w:right="75"/>
      </w:pPr>
      <w:r>
        <w:t>4.3. Dalla ricostruzione sopra svolta, ad avviso del Collegi</w:t>
      </w:r>
      <w:r>
        <w:t>o, emerge come:</w:t>
      </w:r>
    </w:p>
    <w:p w:rsidR="00AF722F" w:rsidRDefault="00BC28D9">
      <w:pPr>
        <w:numPr>
          <w:ilvl w:val="0"/>
          <w:numId w:val="11"/>
        </w:numPr>
        <w:ind w:right="75"/>
      </w:pPr>
      <w:r>
        <w:t>in primo luogo, contrariamente all’approccio seguito dal provvedimento di revoca(secondo cui ciascuna delle irregolarità di funzionamento sopra riportate “</w:t>
      </w:r>
      <w:r>
        <w:rPr>
          <w:i/>
        </w:rPr>
        <w:t>di per sé sola, costituisce legittimo presupposto per la revoca della parità scolasti</w:t>
      </w:r>
      <w:r>
        <w:rPr>
          <w:i/>
        </w:rPr>
        <w:t>ca</w:t>
      </w:r>
      <w:r>
        <w:t xml:space="preserve">”), non tutte le irregolarità appaiono di gravità tale da poter legittimamente fondare la revoca della parità, non solo avuto riguardo ai requisiti di legge (art. 1 l. n. 62/2000; art. 4, comma 1, </w:t>
      </w:r>
      <w:proofErr w:type="spellStart"/>
      <w:r>
        <w:t>lett</w:t>
      </w:r>
      <w:proofErr w:type="spellEnd"/>
      <w:r>
        <w:t xml:space="preserve">. b), DM n. 267/2007), ma anche nella sopra riferita </w:t>
      </w:r>
      <w:r>
        <w:t>impostazione che vede tale atto come “</w:t>
      </w:r>
      <w:proofErr w:type="spellStart"/>
      <w:r>
        <w:rPr>
          <w:i/>
        </w:rPr>
        <w:t>extrema</w:t>
      </w:r>
      <w:proofErr w:type="spellEnd"/>
      <w:r>
        <w:rPr>
          <w:i/>
        </w:rPr>
        <w:t xml:space="preserve"> ratio</w:t>
      </w:r>
      <w:r>
        <w:t xml:space="preserve">” in presenza di una irrimediabile perdita dei requisiti o di irregolarità che incidano su aspetti cruciali del servizio e non agevolmente sanabili (cfr. </w:t>
      </w:r>
      <w:proofErr w:type="spellStart"/>
      <w:r>
        <w:t>Cons</w:t>
      </w:r>
      <w:proofErr w:type="spellEnd"/>
      <w:r>
        <w:t>. St., VII, n. 6561/2023; TAR Campania, Napoli,</w:t>
      </w:r>
      <w:r>
        <w:t xml:space="preserve"> V, n. 2010/2025);</w:t>
      </w:r>
    </w:p>
    <w:p w:rsidR="00AF722F" w:rsidRDefault="00BC28D9">
      <w:pPr>
        <w:numPr>
          <w:ilvl w:val="0"/>
          <w:numId w:val="11"/>
        </w:numPr>
        <w:ind w:right="75"/>
      </w:pPr>
      <w:r>
        <w:t xml:space="preserve">in secondo luogo, dal punto di vita motivazionale, i provvedimenti impugnati </w:t>
      </w:r>
      <w:proofErr w:type="spellStart"/>
      <w:r>
        <w:t>nondanno</w:t>
      </w:r>
      <w:proofErr w:type="spellEnd"/>
      <w:r>
        <w:t xml:space="preserve"> esaurientemente conto della inidoneità degli elementi prodotti dall’istituto a rimuovere le contestazioni o, comunque, a porre le basi per una loro reg</w:t>
      </w:r>
      <w:r>
        <w:t xml:space="preserve">olarizzazioni </w:t>
      </w:r>
      <w:r>
        <w:lastRenderedPageBreak/>
        <w:t>nel breve termine; al contrario, gli atti impugnati appaiono poggiarsi in maniera acritica sugli esiti della relazione ispettiva, trascurando il rispetto del principio di motivazione rafforzata richiamato in precedenza e senza procedere ad un</w:t>
      </w:r>
      <w:r>
        <w:t xml:space="preserve">a valutazione, in termini di gravità e insanabilità delle irregolarità, nel bilanciamento tra gli interessi coinvolti, tenendo conto del fatto che per ciascun profilo originariamente contestato vi sono state concrete attività poste in essere dall’Istituto </w:t>
      </w:r>
      <w:r>
        <w:t>verso la sua rimozione.</w:t>
      </w:r>
    </w:p>
    <w:p w:rsidR="00AF722F" w:rsidRDefault="00BC28D9">
      <w:pPr>
        <w:numPr>
          <w:ilvl w:val="1"/>
          <w:numId w:val="12"/>
        </w:numPr>
        <w:ind w:right="75"/>
      </w:pPr>
      <w:r>
        <w:t xml:space="preserve">Il difetto di istruttoria, inteso come mancato o insufficiente esame della </w:t>
      </w:r>
      <w:proofErr w:type="spellStart"/>
      <w:r>
        <w:t>nuovadocumentazione</w:t>
      </w:r>
      <w:proofErr w:type="spellEnd"/>
      <w:r>
        <w:t xml:space="preserve"> prodotta, si è dunque riverberato sul piano motivazionale dei provvedimenti impugnati, inficiandone la legittimità, considerata la peculi</w:t>
      </w:r>
      <w:r>
        <w:t>are rilevanza su diritti costituzionalmente protetti e vista anche la tempistica seguita nell’adozione dei provvedimenti impugnati.</w:t>
      </w:r>
    </w:p>
    <w:p w:rsidR="00AF722F" w:rsidRDefault="00BC28D9">
      <w:pPr>
        <w:ind w:left="-5" w:right="75"/>
      </w:pPr>
      <w:r>
        <w:t xml:space="preserve">Occorre al riguardo osservare, infatti, che se da un lato si prescrivono alla scuola il rispetto di precise e </w:t>
      </w:r>
      <w:proofErr w:type="spellStart"/>
      <w:r>
        <w:t>scadenziati</w:t>
      </w:r>
      <w:proofErr w:type="spellEnd"/>
      <w:r>
        <w:t xml:space="preserve"> te</w:t>
      </w:r>
      <w:r>
        <w:t xml:space="preserve">rmini, sia al momento della richiesta della parità che per gli anni successivi, ai fini del mantenimento della stessa, non appare viceversa improntato ai canoni di buona fede e correttezza concentrare il segmento centrale del procedimento di revoca (ossia </w:t>
      </w:r>
      <w:r>
        <w:t xml:space="preserve">quello che scaturisce dalla diffida a rimuovere e che, in teoria, deve consentire alla scuola di rimuovere le irregolarità rilevate, nonché il momento finale dell’accertamento delle iniziative poste in essere), in un periodo feriale e a ridosso dell’avvio </w:t>
      </w:r>
      <w:r>
        <w:t>del nuovo anno scolastico, nonostante l’attività ispettiva fosse stata avviata nel mese di marzo 2025.</w:t>
      </w:r>
    </w:p>
    <w:p w:rsidR="00AF722F" w:rsidRDefault="00BC28D9">
      <w:pPr>
        <w:ind w:left="-5" w:right="75"/>
      </w:pPr>
      <w:r>
        <w:t>Neppure a differente esito può giungersi sulla base della presunta (e come visto non condivisa) natura vincolata e di atto dovuto della revoca, considera</w:t>
      </w:r>
      <w:r>
        <w:t>ta la carenza dell'istruttoria condotta, in seguito alla pur corretta attivazione del contraddittorio procedimentale, e la rilevanza degli elementi rappresentati sia nel corso del procedimento sia nel corso del presente giudizio.</w:t>
      </w:r>
    </w:p>
    <w:p w:rsidR="00AF722F" w:rsidRDefault="00BC28D9">
      <w:pPr>
        <w:numPr>
          <w:ilvl w:val="1"/>
          <w:numId w:val="12"/>
        </w:numPr>
        <w:ind w:right="75"/>
      </w:pPr>
      <w:r>
        <w:t xml:space="preserve">Ne discende che, poiché nella vicenda in esame non risulta </w:t>
      </w:r>
      <w:proofErr w:type="spellStart"/>
      <w:r>
        <w:t>chel’amministrazione</w:t>
      </w:r>
      <w:proofErr w:type="spellEnd"/>
      <w:r>
        <w:t xml:space="preserve"> abbia riscontrato – sulla base di dati obiettivi e di una motivazione esauriente che tenga conto delle osservazioni presentate </w:t>
      </w:r>
      <w:r>
        <w:lastRenderedPageBreak/>
        <w:t>dall’istituto – la permanenza delle criticità ris</w:t>
      </w:r>
      <w:r>
        <w:t>contrate, deve concludersi per la fondatezza, in questi termini, del ricorso, sotto il profilo del difetto di istruttoria e motivazione, con il conseguente annullamento dei provvedimenti di revoca impugnati.</w:t>
      </w:r>
    </w:p>
    <w:p w:rsidR="00AF722F" w:rsidRDefault="00BC28D9">
      <w:pPr>
        <w:spacing w:after="0" w:line="355" w:lineRule="auto"/>
        <w:ind w:left="-5"/>
        <w:jc w:val="left"/>
      </w:pPr>
      <w:r>
        <w:t>5. – La particolarità della vicenda e la rilevan</w:t>
      </w:r>
      <w:r>
        <w:t>za degli interessi coinvolti giustificano l'integrale compensazione tra le parti delle spese e competenze di lite. P.Q.M.</w:t>
      </w:r>
    </w:p>
    <w:p w:rsidR="00AF722F" w:rsidRDefault="00BC28D9">
      <w:pPr>
        <w:ind w:left="-5" w:right="154"/>
      </w:pPr>
      <w:r>
        <w:t>Il Tribunale Amministrativo Regionale per il Lazio (Sezione Terza Bis), definitivamente pronunciando sul ricorso, come in epigrafe pro</w:t>
      </w:r>
      <w:r>
        <w:t>posto, lo accoglie nei sensi e nei termini di cui in motivazione.</w:t>
      </w:r>
    </w:p>
    <w:p w:rsidR="00AF722F" w:rsidRDefault="00BC28D9">
      <w:pPr>
        <w:spacing w:after="135" w:line="259" w:lineRule="auto"/>
        <w:ind w:left="-5" w:right="75"/>
      </w:pPr>
      <w:r>
        <w:t>Ordina che la presente sentenza sia eseguita dall'autorità amministrativa.</w:t>
      </w:r>
    </w:p>
    <w:p w:rsidR="00AF722F" w:rsidRDefault="00BC28D9">
      <w:pPr>
        <w:ind w:left="-5"/>
      </w:pPr>
      <w:r>
        <w:t>Così deciso in Roma nella camera di consiglio del giorno 6 maggio 2026 con l'intervento dei magistrati:</w:t>
      </w:r>
    </w:p>
    <w:p w:rsidR="00AF722F" w:rsidRDefault="00BC28D9">
      <w:pPr>
        <w:spacing w:after="135" w:line="259" w:lineRule="auto"/>
        <w:ind w:right="75"/>
      </w:pPr>
      <w:r>
        <w:t>Maria Rosar</w:t>
      </w:r>
      <w:r>
        <w:t>ia Oliva, Presidente FF</w:t>
      </w:r>
    </w:p>
    <w:p w:rsidR="00AF722F" w:rsidRDefault="00BC28D9">
      <w:pPr>
        <w:spacing w:after="135" w:line="259" w:lineRule="auto"/>
        <w:ind w:right="75"/>
      </w:pPr>
      <w:r>
        <w:t>Giovanni Caputi, Primo Referendario</w:t>
      </w:r>
    </w:p>
    <w:p w:rsidR="00AF722F" w:rsidRDefault="00BC28D9">
      <w:pPr>
        <w:spacing w:after="300" w:line="259" w:lineRule="auto"/>
        <w:ind w:right="75"/>
      </w:pPr>
      <w:r>
        <w:t>Ciro Daniele Piro, Referendario, Estensore</w:t>
      </w:r>
    </w:p>
    <w:p w:rsidR="00AF722F" w:rsidRDefault="00BC28D9">
      <w:pPr>
        <w:spacing w:after="18" w:line="259" w:lineRule="auto"/>
        <w:ind w:left="2265" w:firstLine="0"/>
        <w:jc w:val="left"/>
      </w:pPr>
      <w:r>
        <w:rPr>
          <w:b/>
          <w:sz w:val="29"/>
        </w:rPr>
        <w:t xml:space="preserve"> </w:t>
      </w:r>
    </w:p>
    <w:p w:rsidR="00AF722F" w:rsidRDefault="00BC28D9">
      <w:pPr>
        <w:spacing w:after="18" w:line="259" w:lineRule="auto"/>
        <w:ind w:left="2265" w:firstLine="0"/>
        <w:jc w:val="left"/>
      </w:pPr>
      <w:r>
        <w:rPr>
          <w:b/>
          <w:sz w:val="29"/>
        </w:rPr>
        <w:t xml:space="preserve"> </w:t>
      </w:r>
    </w:p>
    <w:p w:rsidR="00AF722F" w:rsidRDefault="00BC28D9">
      <w:pPr>
        <w:tabs>
          <w:tab w:val="center" w:pos="2310"/>
          <w:tab w:val="center" w:pos="7406"/>
        </w:tabs>
        <w:spacing w:after="18" w:line="259" w:lineRule="auto"/>
        <w:ind w:left="0" w:firstLine="0"/>
        <w:jc w:val="left"/>
      </w:pPr>
      <w:r>
        <w:rPr>
          <w:rFonts w:ascii="Calibri" w:eastAsia="Calibri" w:hAnsi="Calibri" w:cs="Calibri"/>
          <w:sz w:val="22"/>
        </w:rPr>
        <w:tab/>
      </w:r>
      <w:r>
        <w:rPr>
          <w:b/>
          <w:sz w:val="29"/>
        </w:rPr>
        <w:t>L'ESTENSORE</w:t>
      </w:r>
      <w:r>
        <w:rPr>
          <w:b/>
          <w:sz w:val="29"/>
        </w:rPr>
        <w:tab/>
        <w:t>IL PRESIDENTE</w:t>
      </w:r>
    </w:p>
    <w:p w:rsidR="00AF722F" w:rsidRDefault="00BC28D9">
      <w:pPr>
        <w:tabs>
          <w:tab w:val="center" w:pos="2309"/>
          <w:tab w:val="center" w:pos="7405"/>
        </w:tabs>
        <w:spacing w:after="18" w:line="259" w:lineRule="auto"/>
        <w:ind w:left="0" w:firstLine="0"/>
        <w:jc w:val="left"/>
      </w:pPr>
      <w:r>
        <w:rPr>
          <w:rFonts w:ascii="Calibri" w:eastAsia="Calibri" w:hAnsi="Calibri" w:cs="Calibri"/>
          <w:sz w:val="22"/>
        </w:rPr>
        <w:tab/>
      </w:r>
      <w:r>
        <w:rPr>
          <w:b/>
          <w:sz w:val="29"/>
        </w:rPr>
        <w:t>Ciro Daniele Piro</w:t>
      </w:r>
      <w:r>
        <w:rPr>
          <w:b/>
          <w:sz w:val="29"/>
        </w:rPr>
        <w:tab/>
        <w:t>Maria Rosaria Oliva</w:t>
      </w:r>
    </w:p>
    <w:p w:rsidR="00AF722F" w:rsidRDefault="00BC28D9">
      <w:pPr>
        <w:spacing w:after="18" w:line="259" w:lineRule="auto"/>
        <w:ind w:left="2265" w:firstLine="0"/>
        <w:jc w:val="left"/>
      </w:pPr>
      <w:r>
        <w:rPr>
          <w:b/>
          <w:sz w:val="29"/>
        </w:rPr>
        <w:t xml:space="preserve"> </w:t>
      </w:r>
    </w:p>
    <w:p w:rsidR="00AF722F" w:rsidRDefault="00BC28D9">
      <w:pPr>
        <w:spacing w:after="18" w:line="259" w:lineRule="auto"/>
        <w:ind w:left="2265" w:firstLine="0"/>
        <w:jc w:val="left"/>
      </w:pPr>
      <w:r>
        <w:rPr>
          <w:b/>
          <w:sz w:val="29"/>
        </w:rPr>
        <w:t xml:space="preserve"> </w:t>
      </w:r>
    </w:p>
    <w:p w:rsidR="00AF722F" w:rsidRDefault="00BC28D9">
      <w:pPr>
        <w:spacing w:after="18" w:line="259" w:lineRule="auto"/>
        <w:ind w:left="2265" w:firstLine="0"/>
        <w:jc w:val="left"/>
      </w:pPr>
      <w:r>
        <w:rPr>
          <w:b/>
          <w:sz w:val="29"/>
        </w:rPr>
        <w:t xml:space="preserve"> </w:t>
      </w:r>
    </w:p>
    <w:p w:rsidR="00AF722F" w:rsidRDefault="00BC28D9">
      <w:pPr>
        <w:spacing w:after="18" w:line="259" w:lineRule="auto"/>
        <w:ind w:left="2265" w:firstLine="0"/>
        <w:jc w:val="left"/>
      </w:pPr>
      <w:r>
        <w:rPr>
          <w:b/>
          <w:sz w:val="29"/>
        </w:rPr>
        <w:t xml:space="preserve"> </w:t>
      </w:r>
    </w:p>
    <w:p w:rsidR="00AF722F" w:rsidRDefault="00BC28D9">
      <w:pPr>
        <w:spacing w:after="108" w:line="259" w:lineRule="auto"/>
        <w:ind w:left="2265" w:firstLine="0"/>
        <w:jc w:val="left"/>
      </w:pPr>
      <w:r>
        <w:rPr>
          <w:b/>
          <w:sz w:val="29"/>
        </w:rPr>
        <w:t xml:space="preserve"> </w:t>
      </w:r>
    </w:p>
    <w:p w:rsidR="00AF722F" w:rsidRDefault="00BC28D9">
      <w:pPr>
        <w:pStyle w:val="Titolo1"/>
        <w:ind w:left="10" w:right="157"/>
      </w:pPr>
      <w:r>
        <w:t>IL SEGRETARIO</w:t>
      </w:r>
    </w:p>
    <w:sectPr w:rsidR="00AF722F">
      <w:headerReference w:type="even" r:id="rId8"/>
      <w:headerReference w:type="default" r:id="rId9"/>
      <w:headerReference w:type="first" r:id="rId10"/>
      <w:pgSz w:w="12240" w:h="15840"/>
      <w:pgMar w:top="464" w:right="897" w:bottom="688" w:left="1040" w:header="74"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8D9" w:rsidRDefault="00BC28D9">
      <w:pPr>
        <w:spacing w:after="0" w:line="240" w:lineRule="auto"/>
      </w:pPr>
      <w:r>
        <w:separator/>
      </w:r>
    </w:p>
  </w:endnote>
  <w:endnote w:type="continuationSeparator" w:id="0">
    <w:p w:rsidR="00BC28D9" w:rsidRDefault="00BC2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8D9" w:rsidRDefault="00BC28D9">
      <w:pPr>
        <w:spacing w:after="0" w:line="240" w:lineRule="auto"/>
      </w:pPr>
      <w:r>
        <w:separator/>
      </w:r>
    </w:p>
  </w:footnote>
  <w:footnote w:type="continuationSeparator" w:id="0">
    <w:p w:rsidR="00BC28D9" w:rsidRDefault="00BC2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22F" w:rsidRDefault="00BC28D9">
    <w:pPr>
      <w:spacing w:after="0" w:line="259" w:lineRule="auto"/>
      <w:ind w:left="-940" w:firstLine="0"/>
      <w:jc w:val="left"/>
    </w:pPr>
    <w:r>
      <w:rPr>
        <w:rFonts w:ascii="Tahoma" w:eastAsia="Tahoma" w:hAnsi="Tahoma" w:cs="Tahoma"/>
        <w:sz w:val="18"/>
      </w:rPr>
      <w:t>N. 11114/2025 REG.RIC.</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22F" w:rsidRDefault="00BC28D9">
    <w:pPr>
      <w:spacing w:after="0" w:line="259" w:lineRule="auto"/>
      <w:ind w:left="-940" w:firstLine="0"/>
      <w:jc w:val="left"/>
    </w:pPr>
    <w:r>
      <w:rPr>
        <w:rFonts w:ascii="Tahoma" w:eastAsia="Tahoma" w:hAnsi="Tahoma" w:cs="Tahoma"/>
        <w:sz w:val="18"/>
      </w:rPr>
      <w:t>N. 11114/2025 REG.RIC.</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22F" w:rsidRDefault="00BC28D9">
    <w:pPr>
      <w:spacing w:after="0" w:line="259" w:lineRule="auto"/>
      <w:ind w:left="-940" w:firstLine="0"/>
      <w:jc w:val="left"/>
    </w:pPr>
    <w:r>
      <w:rPr>
        <w:rFonts w:ascii="Tahoma" w:eastAsia="Tahoma" w:hAnsi="Tahoma" w:cs="Tahoma"/>
        <w:sz w:val="18"/>
      </w:rPr>
      <w:t>N. 11114/2025 REG.RIC.</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62B49"/>
    <w:multiLevelType w:val="hybridMultilevel"/>
    <w:tmpl w:val="AA448E2C"/>
    <w:lvl w:ilvl="0" w:tplc="C4F0B91C">
      <w:start w:val="1"/>
      <w:numFmt w:val="bullet"/>
      <w:lvlText w:val="-"/>
      <w:lvlJc w:val="left"/>
      <w:pPr>
        <w:ind w:left="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17E4CA96">
      <w:start w:val="1"/>
      <w:numFmt w:val="bullet"/>
      <w:lvlText w:val="o"/>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9210E19A">
      <w:start w:val="1"/>
      <w:numFmt w:val="bullet"/>
      <w:lvlText w:val="▪"/>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7E60B162">
      <w:start w:val="1"/>
      <w:numFmt w:val="bullet"/>
      <w:lvlText w:val="•"/>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95044524">
      <w:start w:val="1"/>
      <w:numFmt w:val="bullet"/>
      <w:lvlText w:val="o"/>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F1FACEDA">
      <w:start w:val="1"/>
      <w:numFmt w:val="bullet"/>
      <w:lvlText w:val="▪"/>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0B561E04">
      <w:start w:val="1"/>
      <w:numFmt w:val="bullet"/>
      <w:lvlText w:val="•"/>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85A6E7E">
      <w:start w:val="1"/>
      <w:numFmt w:val="bullet"/>
      <w:lvlText w:val="o"/>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7F01974">
      <w:start w:val="1"/>
      <w:numFmt w:val="bullet"/>
      <w:lvlText w:val="▪"/>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29F37CDB"/>
    <w:multiLevelType w:val="hybridMultilevel"/>
    <w:tmpl w:val="88661C2E"/>
    <w:lvl w:ilvl="0" w:tplc="7B5CDC96">
      <w:start w:val="1"/>
      <w:numFmt w:val="decimal"/>
      <w:lvlText w:val="%1."/>
      <w:lvlJc w:val="left"/>
      <w:pPr>
        <w:ind w:left="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1BB8C0F6">
      <w:start w:val="1"/>
      <w:numFmt w:val="lowerLetter"/>
      <w:lvlText w:val="%2"/>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2D2C7CF6">
      <w:start w:val="1"/>
      <w:numFmt w:val="lowerRoman"/>
      <w:lvlText w:val="%3"/>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8D00A946">
      <w:start w:val="1"/>
      <w:numFmt w:val="decimal"/>
      <w:lvlText w:val="%4"/>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767E54D8">
      <w:start w:val="1"/>
      <w:numFmt w:val="lowerLetter"/>
      <w:lvlText w:val="%5"/>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69902FFE">
      <w:start w:val="1"/>
      <w:numFmt w:val="lowerRoman"/>
      <w:lvlText w:val="%6"/>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A988CE4">
      <w:start w:val="1"/>
      <w:numFmt w:val="decimal"/>
      <w:lvlText w:val="%7"/>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89D636EC">
      <w:start w:val="1"/>
      <w:numFmt w:val="lowerLetter"/>
      <w:lvlText w:val="%8"/>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C2ECE8C">
      <w:start w:val="1"/>
      <w:numFmt w:val="lowerRoman"/>
      <w:lvlText w:val="%9"/>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2B3A1C41"/>
    <w:multiLevelType w:val="multilevel"/>
    <w:tmpl w:val="23C6E268"/>
    <w:lvl w:ilvl="0">
      <w:start w:val="2"/>
      <w:numFmt w:val="decimal"/>
      <w:lvlText w:val="%1."/>
      <w:lvlJc w:val="left"/>
      <w:pPr>
        <w:ind w:left="3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 w15:restartNumberingAfterBreak="0">
    <w:nsid w:val="2F800EBE"/>
    <w:multiLevelType w:val="hybridMultilevel"/>
    <w:tmpl w:val="9FF89D6E"/>
    <w:lvl w:ilvl="0" w:tplc="F1085410">
      <w:start w:val="2"/>
      <w:numFmt w:val="decimal"/>
      <w:lvlText w:val="%1.)"/>
      <w:lvlJc w:val="left"/>
      <w:pPr>
        <w:ind w:left="10"/>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1" w:tplc="55562C7E">
      <w:start w:val="1"/>
      <w:numFmt w:val="lowerLetter"/>
      <w:lvlText w:val="%2"/>
      <w:lvlJc w:val="left"/>
      <w:pPr>
        <w:ind w:left="1080"/>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2" w:tplc="6A76BD5A">
      <w:start w:val="1"/>
      <w:numFmt w:val="lowerRoman"/>
      <w:lvlText w:val="%3"/>
      <w:lvlJc w:val="left"/>
      <w:pPr>
        <w:ind w:left="1800"/>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3" w:tplc="B8E26426">
      <w:start w:val="1"/>
      <w:numFmt w:val="decimal"/>
      <w:lvlText w:val="%4"/>
      <w:lvlJc w:val="left"/>
      <w:pPr>
        <w:ind w:left="2520"/>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4" w:tplc="967488EA">
      <w:start w:val="1"/>
      <w:numFmt w:val="lowerLetter"/>
      <w:lvlText w:val="%5"/>
      <w:lvlJc w:val="left"/>
      <w:pPr>
        <w:ind w:left="3240"/>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5" w:tplc="FBA0DA86">
      <w:start w:val="1"/>
      <w:numFmt w:val="lowerRoman"/>
      <w:lvlText w:val="%6"/>
      <w:lvlJc w:val="left"/>
      <w:pPr>
        <w:ind w:left="3960"/>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6" w:tplc="EB547F80">
      <w:start w:val="1"/>
      <w:numFmt w:val="decimal"/>
      <w:lvlText w:val="%7"/>
      <w:lvlJc w:val="left"/>
      <w:pPr>
        <w:ind w:left="4680"/>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7" w:tplc="F26A5E8E">
      <w:start w:val="1"/>
      <w:numFmt w:val="lowerLetter"/>
      <w:lvlText w:val="%8"/>
      <w:lvlJc w:val="left"/>
      <w:pPr>
        <w:ind w:left="5400"/>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8" w:tplc="028C0702">
      <w:start w:val="1"/>
      <w:numFmt w:val="lowerRoman"/>
      <w:lvlText w:val="%9"/>
      <w:lvlJc w:val="left"/>
      <w:pPr>
        <w:ind w:left="6120"/>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36D24AE7"/>
    <w:multiLevelType w:val="multilevel"/>
    <w:tmpl w:val="AA922BAA"/>
    <w:lvl w:ilvl="0">
      <w:start w:val="4"/>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4"/>
      <w:numFmt w:val="decimal"/>
      <w:lvlRestart w:val="0"/>
      <w:lvlText w:val="%1.%2."/>
      <w:lvlJc w:val="left"/>
      <w:pPr>
        <w:ind w:left="7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373D5447"/>
    <w:multiLevelType w:val="multilevel"/>
    <w:tmpl w:val="BB74DA98"/>
    <w:lvl w:ilvl="0">
      <w:start w:val="4"/>
      <w:numFmt w:val="decimal"/>
      <w:lvlText w:val="%1."/>
      <w:lvlJc w:val="left"/>
      <w:pPr>
        <w:ind w:left="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124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6" w15:restartNumberingAfterBreak="0">
    <w:nsid w:val="391B729D"/>
    <w:multiLevelType w:val="hybridMultilevel"/>
    <w:tmpl w:val="97261FA2"/>
    <w:lvl w:ilvl="0" w:tplc="E09413B0">
      <w:start w:val="1"/>
      <w:numFmt w:val="bullet"/>
      <w:lvlText w:val="-"/>
      <w:lvlJc w:val="left"/>
      <w:pPr>
        <w:ind w:left="3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B1A497FE">
      <w:start w:val="1"/>
      <w:numFmt w:val="bullet"/>
      <w:lvlText w:val="o"/>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0DADEDC">
      <w:start w:val="1"/>
      <w:numFmt w:val="bullet"/>
      <w:lvlText w:val="▪"/>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32D46D24">
      <w:start w:val="1"/>
      <w:numFmt w:val="bullet"/>
      <w:lvlText w:val="•"/>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70C46F6E">
      <w:start w:val="1"/>
      <w:numFmt w:val="bullet"/>
      <w:lvlText w:val="o"/>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2752C004">
      <w:start w:val="1"/>
      <w:numFmt w:val="bullet"/>
      <w:lvlText w:val="▪"/>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F13879DE">
      <w:start w:val="1"/>
      <w:numFmt w:val="bullet"/>
      <w:lvlText w:val="•"/>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E03AAD60">
      <w:start w:val="1"/>
      <w:numFmt w:val="bullet"/>
      <w:lvlText w:val="o"/>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CAE44A86">
      <w:start w:val="1"/>
      <w:numFmt w:val="bullet"/>
      <w:lvlText w:val="▪"/>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7" w15:restartNumberingAfterBreak="0">
    <w:nsid w:val="47FA1345"/>
    <w:multiLevelType w:val="hybridMultilevel"/>
    <w:tmpl w:val="C19C34BE"/>
    <w:lvl w:ilvl="0" w:tplc="C90A0ADA">
      <w:start w:val="1"/>
      <w:numFmt w:val="bullet"/>
      <w:lvlText w:val="-"/>
      <w:lvlJc w:val="left"/>
      <w:pPr>
        <w:ind w:left="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93EEA9E2">
      <w:start w:val="1"/>
      <w:numFmt w:val="bullet"/>
      <w:lvlText w:val="o"/>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C674DA8C">
      <w:start w:val="1"/>
      <w:numFmt w:val="bullet"/>
      <w:lvlText w:val="▪"/>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B56699C0">
      <w:start w:val="1"/>
      <w:numFmt w:val="bullet"/>
      <w:lvlText w:val="•"/>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256E2C4">
      <w:start w:val="1"/>
      <w:numFmt w:val="bullet"/>
      <w:lvlText w:val="o"/>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EF428E8">
      <w:start w:val="1"/>
      <w:numFmt w:val="bullet"/>
      <w:lvlText w:val="▪"/>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EFE30D2">
      <w:start w:val="1"/>
      <w:numFmt w:val="bullet"/>
      <w:lvlText w:val="•"/>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7160DCA4">
      <w:start w:val="1"/>
      <w:numFmt w:val="bullet"/>
      <w:lvlText w:val="o"/>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3AD8E616">
      <w:start w:val="1"/>
      <w:numFmt w:val="bullet"/>
      <w:lvlText w:val="▪"/>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8" w15:restartNumberingAfterBreak="0">
    <w:nsid w:val="4A067E30"/>
    <w:multiLevelType w:val="hybridMultilevel"/>
    <w:tmpl w:val="AC9A1052"/>
    <w:lvl w:ilvl="0" w:tplc="8C680504">
      <w:start w:val="1"/>
      <w:numFmt w:val="bullet"/>
      <w:lvlText w:val="-"/>
      <w:lvlJc w:val="left"/>
      <w:pPr>
        <w:ind w:left="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CD46B40E">
      <w:start w:val="1"/>
      <w:numFmt w:val="bullet"/>
      <w:lvlText w:val="o"/>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1A2210B6">
      <w:start w:val="1"/>
      <w:numFmt w:val="bullet"/>
      <w:lvlText w:val="▪"/>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553412C6">
      <w:start w:val="1"/>
      <w:numFmt w:val="bullet"/>
      <w:lvlText w:val="•"/>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754C873A">
      <w:start w:val="1"/>
      <w:numFmt w:val="bullet"/>
      <w:lvlText w:val="o"/>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5CE6674A">
      <w:start w:val="1"/>
      <w:numFmt w:val="bullet"/>
      <w:lvlText w:val="▪"/>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081C6124">
      <w:start w:val="1"/>
      <w:numFmt w:val="bullet"/>
      <w:lvlText w:val="•"/>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325A05E0">
      <w:start w:val="1"/>
      <w:numFmt w:val="bullet"/>
      <w:lvlText w:val="o"/>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2128B8A">
      <w:start w:val="1"/>
      <w:numFmt w:val="bullet"/>
      <w:lvlText w:val="▪"/>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9" w15:restartNumberingAfterBreak="0">
    <w:nsid w:val="51487A92"/>
    <w:multiLevelType w:val="hybridMultilevel"/>
    <w:tmpl w:val="0F8AA868"/>
    <w:lvl w:ilvl="0" w:tplc="296A51CC">
      <w:start w:val="1"/>
      <w:numFmt w:val="bullet"/>
      <w:lvlText w:val="-"/>
      <w:lvlJc w:val="left"/>
      <w:pPr>
        <w:ind w:left="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66DEA8FC">
      <w:start w:val="1"/>
      <w:numFmt w:val="bullet"/>
      <w:lvlText w:val="o"/>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82CD746">
      <w:start w:val="1"/>
      <w:numFmt w:val="bullet"/>
      <w:lvlText w:val="▪"/>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4446B4F4">
      <w:start w:val="1"/>
      <w:numFmt w:val="bullet"/>
      <w:lvlText w:val="•"/>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65DE8570">
      <w:start w:val="1"/>
      <w:numFmt w:val="bullet"/>
      <w:lvlText w:val="o"/>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A3E628C">
      <w:start w:val="1"/>
      <w:numFmt w:val="bullet"/>
      <w:lvlText w:val="▪"/>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2CFC1A24">
      <w:start w:val="1"/>
      <w:numFmt w:val="bullet"/>
      <w:lvlText w:val="•"/>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2850EB5C">
      <w:start w:val="1"/>
      <w:numFmt w:val="bullet"/>
      <w:lvlText w:val="o"/>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344998A">
      <w:start w:val="1"/>
      <w:numFmt w:val="bullet"/>
      <w:lvlText w:val="▪"/>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0" w15:restartNumberingAfterBreak="0">
    <w:nsid w:val="60F67BCD"/>
    <w:multiLevelType w:val="hybridMultilevel"/>
    <w:tmpl w:val="567676A6"/>
    <w:lvl w:ilvl="0" w:tplc="25021144">
      <w:start w:val="1"/>
      <w:numFmt w:val="bullet"/>
      <w:lvlText w:val="-"/>
      <w:lvlJc w:val="left"/>
      <w:pPr>
        <w:ind w:left="19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9FFAE5F4">
      <w:start w:val="1"/>
      <w:numFmt w:val="bullet"/>
      <w:lvlText w:val="o"/>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56403D30">
      <w:start w:val="1"/>
      <w:numFmt w:val="bullet"/>
      <w:lvlText w:val="▪"/>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A3DE029A">
      <w:start w:val="1"/>
      <w:numFmt w:val="bullet"/>
      <w:lvlText w:val="•"/>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B920D20">
      <w:start w:val="1"/>
      <w:numFmt w:val="bullet"/>
      <w:lvlText w:val="o"/>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C562D2DC">
      <w:start w:val="1"/>
      <w:numFmt w:val="bullet"/>
      <w:lvlText w:val="▪"/>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FBF0B1FE">
      <w:start w:val="1"/>
      <w:numFmt w:val="bullet"/>
      <w:lvlText w:val="•"/>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FD288280">
      <w:start w:val="1"/>
      <w:numFmt w:val="bullet"/>
      <w:lvlText w:val="o"/>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44CC2C4">
      <w:start w:val="1"/>
      <w:numFmt w:val="bullet"/>
      <w:lvlText w:val="▪"/>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1" w15:restartNumberingAfterBreak="0">
    <w:nsid w:val="64C65A6B"/>
    <w:multiLevelType w:val="hybridMultilevel"/>
    <w:tmpl w:val="0436D1E8"/>
    <w:lvl w:ilvl="0" w:tplc="2BB63344">
      <w:start w:val="1"/>
      <w:numFmt w:val="bullet"/>
      <w:lvlText w:val="-"/>
      <w:lvlJc w:val="left"/>
      <w:pPr>
        <w:ind w:left="19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5F0CD32">
      <w:start w:val="1"/>
      <w:numFmt w:val="bullet"/>
      <w:lvlText w:val="o"/>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F8EC8F8">
      <w:start w:val="1"/>
      <w:numFmt w:val="bullet"/>
      <w:lvlText w:val="▪"/>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85385904">
      <w:start w:val="1"/>
      <w:numFmt w:val="bullet"/>
      <w:lvlText w:val="•"/>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4E5C8C3A">
      <w:start w:val="1"/>
      <w:numFmt w:val="bullet"/>
      <w:lvlText w:val="o"/>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2F264A6">
      <w:start w:val="1"/>
      <w:numFmt w:val="bullet"/>
      <w:lvlText w:val="▪"/>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C7EC1D3A">
      <w:start w:val="1"/>
      <w:numFmt w:val="bullet"/>
      <w:lvlText w:val="•"/>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B0A2BD9C">
      <w:start w:val="1"/>
      <w:numFmt w:val="bullet"/>
      <w:lvlText w:val="o"/>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C4F22FC6">
      <w:start w:val="1"/>
      <w:numFmt w:val="bullet"/>
      <w:lvlText w:val="▪"/>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abstractNumId w:val="6"/>
  </w:num>
  <w:num w:numId="2">
    <w:abstractNumId w:val="1"/>
  </w:num>
  <w:num w:numId="3">
    <w:abstractNumId w:val="3"/>
  </w:num>
  <w:num w:numId="4">
    <w:abstractNumId w:val="2"/>
  </w:num>
  <w:num w:numId="5">
    <w:abstractNumId w:val="5"/>
  </w:num>
  <w:num w:numId="6">
    <w:abstractNumId w:val="8"/>
  </w:num>
  <w:num w:numId="7">
    <w:abstractNumId w:val="9"/>
  </w:num>
  <w:num w:numId="8">
    <w:abstractNumId w:val="11"/>
  </w:num>
  <w:num w:numId="9">
    <w:abstractNumId w:val="0"/>
  </w:num>
  <w:num w:numId="10">
    <w:abstractNumId w:val="10"/>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22F"/>
    <w:rsid w:val="00AF722F"/>
    <w:rsid w:val="00BC28D9"/>
    <w:rsid w:val="00DC3A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DED92C-4CE7-4F48-B34F-411C44664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3" w:line="353" w:lineRule="auto"/>
      <w:ind w:left="565" w:hanging="10"/>
      <w:jc w:val="both"/>
    </w:pPr>
    <w:rPr>
      <w:rFonts w:ascii="Times New Roman" w:eastAsia="Times New Roman" w:hAnsi="Times New Roman" w:cs="Times New Roman"/>
      <w:color w:val="000000"/>
      <w:sz w:val="30"/>
    </w:rPr>
  </w:style>
  <w:style w:type="paragraph" w:styleId="Titolo1">
    <w:name w:val="heading 1"/>
    <w:next w:val="Normale"/>
    <w:link w:val="Titolo1Carattere"/>
    <w:uiPriority w:val="9"/>
    <w:unhideWhenUsed/>
    <w:qFormat/>
    <w:pPr>
      <w:keepNext/>
      <w:keepLines/>
      <w:spacing w:after="54"/>
      <w:ind w:left="565" w:hanging="10"/>
      <w:jc w:val="center"/>
      <w:outlineLvl w:val="0"/>
    </w:pPr>
    <w:rPr>
      <w:rFonts w:ascii="Times New Roman" w:eastAsia="Times New Roman" w:hAnsi="Times New Roman" w:cs="Times New Roman"/>
      <w:color w:val="000000"/>
      <w:sz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color w:val="00000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5555</Words>
  <Characters>31665</Characters>
  <Application>Microsoft Office Word</Application>
  <DocSecurity>0</DocSecurity>
  <Lines>263</Lines>
  <Paragraphs>74</Paragraphs>
  <ScaleCrop>false</ScaleCrop>
  <Company/>
  <LinksUpToDate>false</LinksUpToDate>
  <CharactersWithSpaces>37146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11114/2025 REG.RIC.</dc:title>
  <dc:subject/>
  <dc:creator>Utente02</dc:creator>
  <cp:keywords/>
  <cp:lastModifiedBy>Utente02</cp:lastModifiedBy>
  <cp:revision>2</cp:revision>
  <dcterms:created xsi:type="dcterms:W3CDTF">2026-07-13T10:04:00Z</dcterms:created>
  <dcterms:modified xsi:type="dcterms:W3CDTF">2026-07-13T10:04:00Z</dcterms:modified>
</cp:coreProperties>
</file>